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60" w:lineRule="exact"/>
        <w:jc w:val="left"/>
        <w:rPr>
          <w:rFonts w:ascii="黑体" w:hAnsi="黑体" w:eastAsia="黑体" w:cs="黑体"/>
          <w:bCs/>
          <w:kern w:val="0"/>
          <w:sz w:val="28"/>
          <w:szCs w:val="28"/>
        </w:rPr>
      </w:pPr>
      <w:r>
        <w:rPr>
          <w:rFonts w:ascii="黑体" w:hAnsi="黑体" w:eastAsia="黑体" w:cs="黑体"/>
          <w:bCs/>
          <w:kern w:val="0"/>
          <w:sz w:val="28"/>
          <w:szCs w:val="28"/>
        </w:rPr>
        <w:t>附件2</w:t>
      </w:r>
    </w:p>
    <w:p>
      <w:pPr>
        <w:widowControl/>
        <w:spacing w:line="300" w:lineRule="exact"/>
        <w:jc w:val="left"/>
        <w:rPr>
          <w:rFonts w:eastAsia="黑体"/>
          <w:b/>
          <w:kern w:val="0"/>
          <w:sz w:val="32"/>
          <w:szCs w:val="32"/>
        </w:rPr>
      </w:pPr>
    </w:p>
    <w:p>
      <w:pPr>
        <w:tabs>
          <w:tab w:val="left" w:pos="1134"/>
        </w:tabs>
        <w:spacing w:after="156" w:afterLines="50" w:line="600" w:lineRule="exact"/>
        <w:jc w:val="center"/>
        <w:outlineLvl w:val="2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产业项目“标准地”指导性指标（试行）</w:t>
      </w:r>
    </w:p>
    <w:tbl>
      <w:tblPr>
        <w:tblStyle w:val="17"/>
        <w:tblW w:w="934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2"/>
        <w:gridCol w:w="3992"/>
        <w:gridCol w:w="1886"/>
        <w:gridCol w:w="1461"/>
        <w:gridCol w:w="12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  <w:tblHeader/>
          <w:jc w:val="center"/>
        </w:trPr>
        <w:tc>
          <w:tcPr>
            <w:tcW w:w="7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  <w:r>
              <w:rPr>
                <w:rFonts w:eastAsia="仿宋_GB2312"/>
                <w:b/>
                <w:bCs/>
                <w:kern w:val="0"/>
                <w:szCs w:val="21"/>
              </w:rPr>
              <w:t>代码</w:t>
            </w:r>
          </w:p>
        </w:tc>
        <w:tc>
          <w:tcPr>
            <w:tcW w:w="39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  <w:r>
              <w:rPr>
                <w:rFonts w:eastAsia="仿宋_GB2312"/>
                <w:b/>
                <w:bCs/>
                <w:kern w:val="0"/>
                <w:szCs w:val="21"/>
              </w:rPr>
              <w:t>行业名称</w:t>
            </w:r>
          </w:p>
        </w:tc>
        <w:tc>
          <w:tcPr>
            <w:tcW w:w="188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  <w:r>
              <w:rPr>
                <w:rFonts w:eastAsia="仿宋_GB2312"/>
                <w:b/>
                <w:bCs/>
                <w:kern w:val="0"/>
                <w:szCs w:val="21"/>
              </w:rPr>
              <w:t>固定资产投资强度（万元/亩）</w:t>
            </w:r>
          </w:p>
        </w:tc>
        <w:tc>
          <w:tcPr>
            <w:tcW w:w="14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  <w:r>
              <w:rPr>
                <w:rFonts w:eastAsia="仿宋_GB2312"/>
                <w:b/>
                <w:bCs/>
                <w:kern w:val="0"/>
                <w:szCs w:val="21"/>
              </w:rPr>
              <w:t>容积率</w:t>
            </w:r>
          </w:p>
        </w:tc>
        <w:tc>
          <w:tcPr>
            <w:tcW w:w="12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  <w:r>
              <w:rPr>
                <w:rFonts w:eastAsia="仿宋_GB2312"/>
                <w:b/>
                <w:bCs/>
                <w:kern w:val="0"/>
                <w:szCs w:val="21"/>
              </w:rPr>
              <w:t>亩均产值</w:t>
            </w:r>
          </w:p>
          <w:p>
            <w:pPr>
              <w:widowControl/>
              <w:spacing w:line="340" w:lineRule="exact"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  <w:r>
              <w:rPr>
                <w:rFonts w:eastAsia="仿宋_GB2312"/>
                <w:b/>
                <w:bCs/>
                <w:kern w:val="0"/>
                <w:szCs w:val="21"/>
              </w:rPr>
              <w:t>（万元/亩）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  <w:tblHeader/>
          <w:jc w:val="center"/>
        </w:trPr>
        <w:tc>
          <w:tcPr>
            <w:tcW w:w="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</w:p>
        </w:tc>
        <w:tc>
          <w:tcPr>
            <w:tcW w:w="3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  <w:r>
              <w:rPr>
                <w:rFonts w:eastAsia="仿宋_GB2312"/>
                <w:b/>
                <w:bCs/>
                <w:kern w:val="0"/>
                <w:szCs w:val="21"/>
              </w:rPr>
              <w:t>第十五等</w:t>
            </w:r>
          </w:p>
        </w:tc>
        <w:tc>
          <w:tcPr>
            <w:tcW w:w="14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</w:p>
        </w:tc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  <w:jc w:val="center"/>
        </w:trPr>
        <w:tc>
          <w:tcPr>
            <w:tcW w:w="7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13</w:t>
            </w:r>
          </w:p>
        </w:tc>
        <w:tc>
          <w:tcPr>
            <w:tcW w:w="3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农副食品加工业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≥50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≥1.1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≥180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  <w:jc w:val="center"/>
        </w:trPr>
        <w:tc>
          <w:tcPr>
            <w:tcW w:w="7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14</w:t>
            </w:r>
          </w:p>
        </w:tc>
        <w:tc>
          <w:tcPr>
            <w:tcW w:w="3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食品制造业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≥50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≥1.1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≥195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  <w:jc w:val="center"/>
        </w:trPr>
        <w:tc>
          <w:tcPr>
            <w:tcW w:w="7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15</w:t>
            </w:r>
          </w:p>
        </w:tc>
        <w:tc>
          <w:tcPr>
            <w:tcW w:w="3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酒、饮料和精制茶制造业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≥50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≥1.1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≥220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  <w:jc w:val="center"/>
        </w:trPr>
        <w:tc>
          <w:tcPr>
            <w:tcW w:w="7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16</w:t>
            </w:r>
          </w:p>
        </w:tc>
        <w:tc>
          <w:tcPr>
            <w:tcW w:w="3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烟草制品业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≥50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≥1.1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≥240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  <w:jc w:val="center"/>
        </w:trPr>
        <w:tc>
          <w:tcPr>
            <w:tcW w:w="7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17</w:t>
            </w:r>
          </w:p>
        </w:tc>
        <w:tc>
          <w:tcPr>
            <w:tcW w:w="3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纺织业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≥50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≥0.9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≥205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  <w:jc w:val="center"/>
        </w:trPr>
        <w:tc>
          <w:tcPr>
            <w:tcW w:w="7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18</w:t>
            </w:r>
          </w:p>
        </w:tc>
        <w:tc>
          <w:tcPr>
            <w:tcW w:w="3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纺织服装、服饰业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≥50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≥1.1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≥200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  <w:jc w:val="center"/>
        </w:trPr>
        <w:tc>
          <w:tcPr>
            <w:tcW w:w="7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19</w:t>
            </w:r>
          </w:p>
        </w:tc>
        <w:tc>
          <w:tcPr>
            <w:tcW w:w="3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皮革、毛皮、羽毛及其制品和制鞋业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≥50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≥1.1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≥240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  <w:jc w:val="center"/>
        </w:trPr>
        <w:tc>
          <w:tcPr>
            <w:tcW w:w="7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20</w:t>
            </w:r>
          </w:p>
        </w:tc>
        <w:tc>
          <w:tcPr>
            <w:tcW w:w="3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木材加工和木、竹、藤、棕、草制品业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≥45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≥0.9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≥170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  <w:jc w:val="center"/>
        </w:trPr>
        <w:tc>
          <w:tcPr>
            <w:tcW w:w="7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21</w:t>
            </w:r>
          </w:p>
        </w:tc>
        <w:tc>
          <w:tcPr>
            <w:tcW w:w="3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家具制造业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≥50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≥0.9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≥170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  <w:jc w:val="center"/>
        </w:trPr>
        <w:tc>
          <w:tcPr>
            <w:tcW w:w="7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22</w:t>
            </w:r>
          </w:p>
        </w:tc>
        <w:tc>
          <w:tcPr>
            <w:tcW w:w="3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造纸和纸制品业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≥50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≥0.9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≥210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  <w:jc w:val="center"/>
        </w:trPr>
        <w:tc>
          <w:tcPr>
            <w:tcW w:w="7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23</w:t>
            </w:r>
          </w:p>
        </w:tc>
        <w:tc>
          <w:tcPr>
            <w:tcW w:w="3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印刷和记录媒介复制业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≥55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≥0.9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≥210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  <w:jc w:val="center"/>
        </w:trPr>
        <w:tc>
          <w:tcPr>
            <w:tcW w:w="7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24</w:t>
            </w:r>
          </w:p>
        </w:tc>
        <w:tc>
          <w:tcPr>
            <w:tcW w:w="3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文教、工美、体育和娱乐用品制造业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≥50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≥1.1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≥180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  <w:jc w:val="center"/>
        </w:trPr>
        <w:tc>
          <w:tcPr>
            <w:tcW w:w="7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25</w:t>
            </w:r>
          </w:p>
        </w:tc>
        <w:tc>
          <w:tcPr>
            <w:tcW w:w="3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石油、煤炭及其他燃料加工业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≥55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≥0.6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≥480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  <w:jc w:val="center"/>
        </w:trPr>
        <w:tc>
          <w:tcPr>
            <w:tcW w:w="7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26</w:t>
            </w:r>
          </w:p>
        </w:tc>
        <w:tc>
          <w:tcPr>
            <w:tcW w:w="3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化学原料和化学制品制造业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≥55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≥0.7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≥270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  <w:jc w:val="center"/>
        </w:trPr>
        <w:tc>
          <w:tcPr>
            <w:tcW w:w="7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27</w:t>
            </w:r>
          </w:p>
        </w:tc>
        <w:tc>
          <w:tcPr>
            <w:tcW w:w="3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医药制造业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≥55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≥0.8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≥240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  <w:jc w:val="center"/>
        </w:trPr>
        <w:tc>
          <w:tcPr>
            <w:tcW w:w="7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28</w:t>
            </w:r>
          </w:p>
        </w:tc>
        <w:tc>
          <w:tcPr>
            <w:tcW w:w="3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化学纤维制造业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≥55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≥0.9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≥240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  <w:jc w:val="center"/>
        </w:trPr>
        <w:tc>
          <w:tcPr>
            <w:tcW w:w="7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29</w:t>
            </w:r>
          </w:p>
        </w:tc>
        <w:tc>
          <w:tcPr>
            <w:tcW w:w="3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橡胶和塑料制品业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≥55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≥0.9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≥195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  <w:jc w:val="center"/>
        </w:trPr>
        <w:tc>
          <w:tcPr>
            <w:tcW w:w="7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30</w:t>
            </w:r>
          </w:p>
        </w:tc>
        <w:tc>
          <w:tcPr>
            <w:tcW w:w="3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非金属矿物制品业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≥45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≥0.8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≥170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  <w:jc w:val="center"/>
        </w:trPr>
        <w:tc>
          <w:tcPr>
            <w:tcW w:w="7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31</w:t>
            </w:r>
          </w:p>
        </w:tc>
        <w:tc>
          <w:tcPr>
            <w:tcW w:w="3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黑色金属冶炼和压延加工业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≥55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≥0.7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≥240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  <w:jc w:val="center"/>
        </w:trPr>
        <w:tc>
          <w:tcPr>
            <w:tcW w:w="7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32</w:t>
            </w:r>
          </w:p>
        </w:tc>
        <w:tc>
          <w:tcPr>
            <w:tcW w:w="3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有色金属冶炼和压延加工业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≥55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≥0.7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≥290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  <w:jc w:val="center"/>
        </w:trPr>
        <w:tc>
          <w:tcPr>
            <w:tcW w:w="7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33</w:t>
            </w:r>
          </w:p>
        </w:tc>
        <w:tc>
          <w:tcPr>
            <w:tcW w:w="3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金属制品业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≥55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≥0.8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≥270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  <w:jc w:val="center"/>
        </w:trPr>
        <w:tc>
          <w:tcPr>
            <w:tcW w:w="7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34</w:t>
            </w:r>
          </w:p>
        </w:tc>
        <w:tc>
          <w:tcPr>
            <w:tcW w:w="3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通用设备制造业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≥55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≥0.8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≥240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  <w:jc w:val="center"/>
        </w:trPr>
        <w:tc>
          <w:tcPr>
            <w:tcW w:w="7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35</w:t>
            </w:r>
          </w:p>
        </w:tc>
        <w:tc>
          <w:tcPr>
            <w:tcW w:w="3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专用设备制造业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≥55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≥0.8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≥180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  <w:jc w:val="center"/>
        </w:trPr>
        <w:tc>
          <w:tcPr>
            <w:tcW w:w="7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36</w:t>
            </w:r>
          </w:p>
        </w:tc>
        <w:tc>
          <w:tcPr>
            <w:tcW w:w="3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汽车制造业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≥55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≥0.8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≥270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  <w:jc w:val="center"/>
        </w:trPr>
        <w:tc>
          <w:tcPr>
            <w:tcW w:w="7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37</w:t>
            </w:r>
          </w:p>
        </w:tc>
        <w:tc>
          <w:tcPr>
            <w:tcW w:w="3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铁路、船舶、航空航天和其他运输设备制造业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≥55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≥0.8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≥205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  <w:jc w:val="center"/>
        </w:trPr>
        <w:tc>
          <w:tcPr>
            <w:tcW w:w="7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38</w:t>
            </w:r>
          </w:p>
        </w:tc>
        <w:tc>
          <w:tcPr>
            <w:tcW w:w="3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电气机械和器材制造业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≥55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≥0.8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≥270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  <w:jc w:val="center"/>
        </w:trPr>
        <w:tc>
          <w:tcPr>
            <w:tcW w:w="7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39</w:t>
            </w:r>
          </w:p>
        </w:tc>
        <w:tc>
          <w:tcPr>
            <w:tcW w:w="3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计算机、通信和其他电子设备制造业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≥60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≥1.1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≥450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  <w:jc w:val="center"/>
        </w:trPr>
        <w:tc>
          <w:tcPr>
            <w:tcW w:w="7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40</w:t>
            </w:r>
          </w:p>
        </w:tc>
        <w:tc>
          <w:tcPr>
            <w:tcW w:w="3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仪器仪表制造业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≥55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≥1.1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≥345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  <w:jc w:val="center"/>
        </w:trPr>
        <w:tc>
          <w:tcPr>
            <w:tcW w:w="7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41</w:t>
            </w:r>
          </w:p>
        </w:tc>
        <w:tc>
          <w:tcPr>
            <w:tcW w:w="3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其他制造业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≥45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≥1.1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≥170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  <w:jc w:val="center"/>
        </w:trPr>
        <w:tc>
          <w:tcPr>
            <w:tcW w:w="7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42</w:t>
            </w:r>
          </w:p>
        </w:tc>
        <w:tc>
          <w:tcPr>
            <w:tcW w:w="3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废弃资源综合利用业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≥45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≥0.8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≥195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  <w:jc w:val="center"/>
        </w:trPr>
        <w:tc>
          <w:tcPr>
            <w:tcW w:w="7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43</w:t>
            </w:r>
          </w:p>
        </w:tc>
        <w:tc>
          <w:tcPr>
            <w:tcW w:w="3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金属制品、机械和设备修理业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≥35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≥0.8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≥180</w:t>
            </w:r>
          </w:p>
        </w:tc>
      </w:tr>
    </w:tbl>
    <w:p>
      <w:pPr>
        <w:tabs>
          <w:tab w:val="left" w:pos="1134"/>
        </w:tabs>
        <w:spacing w:after="312" w:afterLines="100" w:line="600" w:lineRule="exact"/>
        <w:jc w:val="center"/>
        <w:outlineLvl w:val="2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新产业新业态产业项目“标准地”指导性指标</w:t>
      </w:r>
    </w:p>
    <w:tbl>
      <w:tblPr>
        <w:tblStyle w:val="17"/>
        <w:tblW w:w="92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9"/>
        <w:gridCol w:w="3129"/>
        <w:gridCol w:w="1964"/>
        <w:gridCol w:w="1055"/>
        <w:gridCol w:w="15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  <w:jc w:val="center"/>
        </w:trPr>
        <w:tc>
          <w:tcPr>
            <w:tcW w:w="1549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行业名称</w:t>
            </w:r>
          </w:p>
        </w:tc>
        <w:tc>
          <w:tcPr>
            <w:tcW w:w="3129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产业类型</w:t>
            </w:r>
          </w:p>
        </w:tc>
        <w:tc>
          <w:tcPr>
            <w:tcW w:w="1964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固定资产投资强度（万元/亩）</w:t>
            </w:r>
          </w:p>
        </w:tc>
        <w:tc>
          <w:tcPr>
            <w:tcW w:w="1055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容积率</w:t>
            </w:r>
          </w:p>
        </w:tc>
        <w:tc>
          <w:tcPr>
            <w:tcW w:w="1580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hint="eastAsia"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亩均产值</w:t>
            </w:r>
          </w:p>
          <w:p>
            <w:pPr>
              <w:widowControl/>
              <w:snapToGrid w:val="0"/>
              <w:spacing w:line="300" w:lineRule="exact"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（万元/亩）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549" w:type="dxa"/>
            <w:vMerge w:val="restart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新一代信息技术产业</w:t>
            </w:r>
          </w:p>
        </w:tc>
        <w:tc>
          <w:tcPr>
            <w:tcW w:w="3129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网络设备制造</w:t>
            </w:r>
          </w:p>
        </w:tc>
        <w:tc>
          <w:tcPr>
            <w:tcW w:w="1964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≥464</w:t>
            </w:r>
          </w:p>
        </w:tc>
        <w:tc>
          <w:tcPr>
            <w:tcW w:w="1055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≥1.1</w:t>
            </w:r>
          </w:p>
        </w:tc>
        <w:tc>
          <w:tcPr>
            <w:tcW w:w="1580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≥328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549" w:type="dxa"/>
            <w:vMerge w:val="continue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129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新型计算机及信息终端设备制造</w:t>
            </w:r>
          </w:p>
        </w:tc>
        <w:tc>
          <w:tcPr>
            <w:tcW w:w="1964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≥292</w:t>
            </w:r>
          </w:p>
        </w:tc>
        <w:tc>
          <w:tcPr>
            <w:tcW w:w="1055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≥1.1</w:t>
            </w:r>
          </w:p>
        </w:tc>
        <w:tc>
          <w:tcPr>
            <w:tcW w:w="1580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≥280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549" w:type="dxa"/>
            <w:vMerge w:val="continue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129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新型电子元器件及设备制造</w:t>
            </w:r>
          </w:p>
        </w:tc>
        <w:tc>
          <w:tcPr>
            <w:tcW w:w="1964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≥216</w:t>
            </w:r>
          </w:p>
        </w:tc>
        <w:tc>
          <w:tcPr>
            <w:tcW w:w="1055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≥0.9</w:t>
            </w:r>
          </w:p>
        </w:tc>
        <w:tc>
          <w:tcPr>
            <w:tcW w:w="1580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≥240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549" w:type="dxa"/>
            <w:vMerge w:val="restart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新材料产业</w:t>
            </w:r>
          </w:p>
        </w:tc>
        <w:tc>
          <w:tcPr>
            <w:tcW w:w="3129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先进有色金属材料</w:t>
            </w:r>
          </w:p>
        </w:tc>
        <w:tc>
          <w:tcPr>
            <w:tcW w:w="1964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≥240</w:t>
            </w:r>
          </w:p>
        </w:tc>
        <w:tc>
          <w:tcPr>
            <w:tcW w:w="1055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≥0.9</w:t>
            </w:r>
          </w:p>
        </w:tc>
        <w:tc>
          <w:tcPr>
            <w:tcW w:w="1580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≥168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549" w:type="dxa"/>
            <w:vMerge w:val="continue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129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高性能纤维及制品和复合材料</w:t>
            </w:r>
          </w:p>
        </w:tc>
        <w:tc>
          <w:tcPr>
            <w:tcW w:w="1964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≥228</w:t>
            </w:r>
          </w:p>
        </w:tc>
        <w:tc>
          <w:tcPr>
            <w:tcW w:w="1055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≥0.8</w:t>
            </w:r>
          </w:p>
        </w:tc>
        <w:tc>
          <w:tcPr>
            <w:tcW w:w="1580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≥288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549" w:type="dxa"/>
            <w:vMerge w:val="continue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129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前沿新材料</w:t>
            </w:r>
          </w:p>
        </w:tc>
        <w:tc>
          <w:tcPr>
            <w:tcW w:w="1964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≥192</w:t>
            </w:r>
          </w:p>
        </w:tc>
        <w:tc>
          <w:tcPr>
            <w:tcW w:w="1055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≥0.8</w:t>
            </w:r>
          </w:p>
        </w:tc>
        <w:tc>
          <w:tcPr>
            <w:tcW w:w="1580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≥236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549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新能源汽车产业</w:t>
            </w:r>
          </w:p>
        </w:tc>
        <w:tc>
          <w:tcPr>
            <w:tcW w:w="3129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新能源汽车整车制造</w:t>
            </w:r>
          </w:p>
        </w:tc>
        <w:tc>
          <w:tcPr>
            <w:tcW w:w="1964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≥384</w:t>
            </w:r>
          </w:p>
        </w:tc>
        <w:tc>
          <w:tcPr>
            <w:tcW w:w="1055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≥0.8</w:t>
            </w:r>
          </w:p>
        </w:tc>
        <w:tc>
          <w:tcPr>
            <w:tcW w:w="1580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≥412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549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节能环保产业</w:t>
            </w:r>
          </w:p>
        </w:tc>
        <w:tc>
          <w:tcPr>
            <w:tcW w:w="3129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工业固体废物、废气、废液回收和资源化利用</w:t>
            </w:r>
          </w:p>
        </w:tc>
        <w:tc>
          <w:tcPr>
            <w:tcW w:w="1964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≥116</w:t>
            </w:r>
          </w:p>
        </w:tc>
        <w:tc>
          <w:tcPr>
            <w:tcW w:w="1055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≥0.9</w:t>
            </w:r>
          </w:p>
        </w:tc>
        <w:tc>
          <w:tcPr>
            <w:tcW w:w="1580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≥184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549" w:type="dxa"/>
            <w:vMerge w:val="restart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先进制造业</w:t>
            </w:r>
          </w:p>
        </w:tc>
        <w:tc>
          <w:tcPr>
            <w:tcW w:w="3129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航空器装备、卫星装备制造</w:t>
            </w:r>
          </w:p>
        </w:tc>
        <w:tc>
          <w:tcPr>
            <w:tcW w:w="1964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≥256</w:t>
            </w:r>
          </w:p>
        </w:tc>
        <w:tc>
          <w:tcPr>
            <w:tcW w:w="1055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≥0.8</w:t>
            </w:r>
          </w:p>
        </w:tc>
        <w:tc>
          <w:tcPr>
            <w:tcW w:w="1580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≥204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549" w:type="dxa"/>
            <w:vMerge w:val="continue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129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机器人与增材设备制造</w:t>
            </w:r>
          </w:p>
        </w:tc>
        <w:tc>
          <w:tcPr>
            <w:tcW w:w="1964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≥208</w:t>
            </w:r>
          </w:p>
        </w:tc>
        <w:tc>
          <w:tcPr>
            <w:tcW w:w="1055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≥0.9</w:t>
            </w:r>
          </w:p>
        </w:tc>
        <w:tc>
          <w:tcPr>
            <w:tcW w:w="1580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≥308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549" w:type="dxa"/>
            <w:vMerge w:val="continue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129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智能测控装备制造</w:t>
            </w:r>
          </w:p>
        </w:tc>
        <w:tc>
          <w:tcPr>
            <w:tcW w:w="1964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≥276</w:t>
            </w:r>
          </w:p>
        </w:tc>
        <w:tc>
          <w:tcPr>
            <w:tcW w:w="1055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≥0.9</w:t>
            </w:r>
          </w:p>
        </w:tc>
        <w:tc>
          <w:tcPr>
            <w:tcW w:w="1580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≥380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549" w:type="dxa"/>
            <w:vMerge w:val="continue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129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其他智能设备制造</w:t>
            </w:r>
          </w:p>
        </w:tc>
        <w:tc>
          <w:tcPr>
            <w:tcW w:w="1964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≥232</w:t>
            </w:r>
          </w:p>
        </w:tc>
        <w:tc>
          <w:tcPr>
            <w:tcW w:w="1055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≥0.9</w:t>
            </w:r>
          </w:p>
        </w:tc>
        <w:tc>
          <w:tcPr>
            <w:tcW w:w="1580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≥132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549" w:type="dxa"/>
            <w:vMerge w:val="continue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129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智能关键基础零部件制造</w:t>
            </w:r>
          </w:p>
        </w:tc>
        <w:tc>
          <w:tcPr>
            <w:tcW w:w="1964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≥240</w:t>
            </w:r>
          </w:p>
        </w:tc>
        <w:tc>
          <w:tcPr>
            <w:tcW w:w="1055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≥0.8</w:t>
            </w:r>
          </w:p>
        </w:tc>
        <w:tc>
          <w:tcPr>
            <w:tcW w:w="1580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≥276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549" w:type="dxa"/>
            <w:vMerge w:val="continue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129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新能源设备制造</w:t>
            </w:r>
          </w:p>
        </w:tc>
        <w:tc>
          <w:tcPr>
            <w:tcW w:w="1964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≥184</w:t>
            </w:r>
          </w:p>
        </w:tc>
        <w:tc>
          <w:tcPr>
            <w:tcW w:w="1055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≥0.8</w:t>
            </w:r>
          </w:p>
        </w:tc>
        <w:tc>
          <w:tcPr>
            <w:tcW w:w="1580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≥128</w:t>
            </w:r>
          </w:p>
        </w:tc>
      </w:tr>
    </w:tbl>
    <w:p>
      <w:pPr>
        <w:widowControl/>
        <w:spacing w:line="460" w:lineRule="exact"/>
        <w:jc w:val="left"/>
        <w:rPr>
          <w:rFonts w:hint="eastAsia" w:eastAsia="仿宋_GB2312"/>
          <w:kern w:val="0"/>
          <w:szCs w:val="21"/>
        </w:rPr>
      </w:pPr>
    </w:p>
    <w:p>
      <w:pPr>
        <w:widowControl/>
        <w:spacing w:line="460" w:lineRule="exact"/>
        <w:jc w:val="left"/>
        <w:rPr>
          <w:rFonts w:hint="eastAsia" w:ascii="黑体" w:hAnsi="黑体" w:eastAsia="黑体" w:cs="黑体"/>
          <w:bCs/>
          <w:kern w:val="0"/>
          <w:sz w:val="28"/>
          <w:szCs w:val="28"/>
        </w:rPr>
      </w:pPr>
    </w:p>
    <w:p>
      <w:pPr>
        <w:widowControl/>
        <w:spacing w:line="460" w:lineRule="exact"/>
        <w:jc w:val="left"/>
        <w:rPr>
          <w:rFonts w:hint="eastAsia" w:ascii="黑体" w:hAnsi="黑体" w:eastAsia="黑体" w:cs="黑体"/>
          <w:bCs/>
          <w:kern w:val="0"/>
          <w:sz w:val="28"/>
          <w:szCs w:val="28"/>
        </w:rPr>
      </w:pPr>
    </w:p>
    <w:p>
      <w:pPr>
        <w:widowControl/>
        <w:spacing w:line="460" w:lineRule="exact"/>
        <w:jc w:val="left"/>
        <w:rPr>
          <w:rFonts w:hint="eastAsia" w:ascii="黑体" w:hAnsi="黑体" w:eastAsia="黑体" w:cs="黑体"/>
          <w:bCs/>
          <w:kern w:val="0"/>
          <w:sz w:val="28"/>
          <w:szCs w:val="28"/>
        </w:rPr>
      </w:pPr>
    </w:p>
    <w:p>
      <w:pPr>
        <w:widowControl/>
        <w:spacing w:line="460" w:lineRule="exact"/>
        <w:jc w:val="left"/>
        <w:rPr>
          <w:rFonts w:hint="eastAsia" w:ascii="黑体" w:hAnsi="黑体" w:eastAsia="黑体" w:cs="黑体"/>
          <w:bCs/>
          <w:kern w:val="0"/>
          <w:sz w:val="28"/>
          <w:szCs w:val="28"/>
        </w:rPr>
      </w:pPr>
    </w:p>
    <w:p>
      <w:pPr>
        <w:widowControl/>
        <w:spacing w:line="460" w:lineRule="exact"/>
        <w:jc w:val="left"/>
        <w:rPr>
          <w:rFonts w:hint="eastAsia" w:ascii="黑体" w:hAnsi="黑体" w:eastAsia="黑体" w:cs="黑体"/>
          <w:bCs/>
          <w:kern w:val="0"/>
          <w:sz w:val="28"/>
          <w:szCs w:val="28"/>
        </w:rPr>
      </w:pPr>
    </w:p>
    <w:p>
      <w:pPr>
        <w:widowControl/>
        <w:spacing w:line="460" w:lineRule="exact"/>
        <w:jc w:val="left"/>
        <w:rPr>
          <w:rFonts w:hint="eastAsia" w:ascii="黑体" w:hAnsi="黑体" w:eastAsia="黑体" w:cs="黑体"/>
          <w:bCs/>
          <w:kern w:val="0"/>
          <w:sz w:val="28"/>
          <w:szCs w:val="28"/>
        </w:rPr>
      </w:pPr>
    </w:p>
    <w:p>
      <w:pPr>
        <w:widowControl/>
        <w:spacing w:line="460" w:lineRule="exact"/>
        <w:jc w:val="left"/>
        <w:rPr>
          <w:rFonts w:hint="eastAsia" w:ascii="黑体" w:hAnsi="黑体" w:eastAsia="黑体" w:cs="黑体"/>
          <w:bCs/>
          <w:kern w:val="0"/>
          <w:sz w:val="28"/>
          <w:szCs w:val="28"/>
        </w:rPr>
      </w:pPr>
      <w:bookmarkStart w:id="0" w:name="_GoBack"/>
      <w:bookmarkEnd w:id="0"/>
    </w:p>
    <w:sectPr>
      <w:pgSz w:w="11906" w:h="16838"/>
      <w:pgMar w:top="1418" w:right="1474" w:bottom="1418" w:left="1588" w:header="851" w:footer="964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true"/>
  <w:bordersDoNotSurroundFooter w:val="tru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evenAndOddHeaders w:val="true"/>
  <w:drawingGridHorizontalSpacing w:val="105"/>
  <w:drawingGridVerticalSpacing w:val="156"/>
  <w:displayHorizontalDrawingGridEvery w:val="2"/>
  <w:displayVerticalDrawingGridEvery w:val="2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E4YzRkNmExMzI5YWFiZjFiNWIxMTI0ZjI4YWZjNmEifQ=="/>
  </w:docVars>
  <w:rsids>
    <w:rsidRoot w:val="00647BA5"/>
    <w:rsid w:val="000127A5"/>
    <w:rsid w:val="00013FF5"/>
    <w:rsid w:val="000155E7"/>
    <w:rsid w:val="00065F4B"/>
    <w:rsid w:val="0006752E"/>
    <w:rsid w:val="000842C9"/>
    <w:rsid w:val="000845E5"/>
    <w:rsid w:val="00084695"/>
    <w:rsid w:val="00084D41"/>
    <w:rsid w:val="000906EE"/>
    <w:rsid w:val="000A45E9"/>
    <w:rsid w:val="000A73DD"/>
    <w:rsid w:val="000C02DC"/>
    <w:rsid w:val="000C4B3E"/>
    <w:rsid w:val="000D3CD1"/>
    <w:rsid w:val="000D6E0F"/>
    <w:rsid w:val="000E0136"/>
    <w:rsid w:val="000E721F"/>
    <w:rsid w:val="000F2A70"/>
    <w:rsid w:val="000F6211"/>
    <w:rsid w:val="000F6C42"/>
    <w:rsid w:val="000F7311"/>
    <w:rsid w:val="0010188E"/>
    <w:rsid w:val="001028C5"/>
    <w:rsid w:val="00102A72"/>
    <w:rsid w:val="001034DA"/>
    <w:rsid w:val="00105ACF"/>
    <w:rsid w:val="00115A6E"/>
    <w:rsid w:val="00116116"/>
    <w:rsid w:val="00122A6B"/>
    <w:rsid w:val="00124B72"/>
    <w:rsid w:val="00135614"/>
    <w:rsid w:val="0013729F"/>
    <w:rsid w:val="0014001A"/>
    <w:rsid w:val="00141471"/>
    <w:rsid w:val="001462D5"/>
    <w:rsid w:val="00151FA2"/>
    <w:rsid w:val="0015359C"/>
    <w:rsid w:val="001566B9"/>
    <w:rsid w:val="00160580"/>
    <w:rsid w:val="00187E49"/>
    <w:rsid w:val="00190989"/>
    <w:rsid w:val="00191D5B"/>
    <w:rsid w:val="001946DC"/>
    <w:rsid w:val="001A5881"/>
    <w:rsid w:val="001A5E9E"/>
    <w:rsid w:val="001B15F0"/>
    <w:rsid w:val="001C55F4"/>
    <w:rsid w:val="001C5CA7"/>
    <w:rsid w:val="001D2126"/>
    <w:rsid w:val="001D5C21"/>
    <w:rsid w:val="001D6278"/>
    <w:rsid w:val="001E5F8A"/>
    <w:rsid w:val="001F65CF"/>
    <w:rsid w:val="00201234"/>
    <w:rsid w:val="0022007B"/>
    <w:rsid w:val="0022066D"/>
    <w:rsid w:val="00220EE6"/>
    <w:rsid w:val="002217EA"/>
    <w:rsid w:val="00223601"/>
    <w:rsid w:val="00224F4A"/>
    <w:rsid w:val="002265E8"/>
    <w:rsid w:val="00234087"/>
    <w:rsid w:val="00235F28"/>
    <w:rsid w:val="002369DB"/>
    <w:rsid w:val="00237611"/>
    <w:rsid w:val="00254F37"/>
    <w:rsid w:val="00256C39"/>
    <w:rsid w:val="00257678"/>
    <w:rsid w:val="002602D0"/>
    <w:rsid w:val="00266497"/>
    <w:rsid w:val="00267F86"/>
    <w:rsid w:val="002711D5"/>
    <w:rsid w:val="0027602F"/>
    <w:rsid w:val="00291B09"/>
    <w:rsid w:val="00292C62"/>
    <w:rsid w:val="00296A52"/>
    <w:rsid w:val="002B15B0"/>
    <w:rsid w:val="002B5184"/>
    <w:rsid w:val="002B54C7"/>
    <w:rsid w:val="002C2FDE"/>
    <w:rsid w:val="002C4269"/>
    <w:rsid w:val="002C4E1D"/>
    <w:rsid w:val="002D6032"/>
    <w:rsid w:val="002D74E8"/>
    <w:rsid w:val="002E1E71"/>
    <w:rsid w:val="002E295B"/>
    <w:rsid w:val="002E5308"/>
    <w:rsid w:val="002F25CB"/>
    <w:rsid w:val="00301AE0"/>
    <w:rsid w:val="00311602"/>
    <w:rsid w:val="00312736"/>
    <w:rsid w:val="00317244"/>
    <w:rsid w:val="003214E6"/>
    <w:rsid w:val="00322310"/>
    <w:rsid w:val="00330EF9"/>
    <w:rsid w:val="0033103F"/>
    <w:rsid w:val="0033210D"/>
    <w:rsid w:val="00334293"/>
    <w:rsid w:val="0033483F"/>
    <w:rsid w:val="00343F15"/>
    <w:rsid w:val="00350522"/>
    <w:rsid w:val="003507BE"/>
    <w:rsid w:val="00352B0D"/>
    <w:rsid w:val="0036388A"/>
    <w:rsid w:val="00365E99"/>
    <w:rsid w:val="00365ECF"/>
    <w:rsid w:val="00374631"/>
    <w:rsid w:val="003864A5"/>
    <w:rsid w:val="0038726E"/>
    <w:rsid w:val="00390D75"/>
    <w:rsid w:val="00391A08"/>
    <w:rsid w:val="0039644C"/>
    <w:rsid w:val="003A7ED2"/>
    <w:rsid w:val="003A7FFE"/>
    <w:rsid w:val="003B3111"/>
    <w:rsid w:val="003C4113"/>
    <w:rsid w:val="003C6355"/>
    <w:rsid w:val="003C7AC3"/>
    <w:rsid w:val="003D4DBF"/>
    <w:rsid w:val="003D596B"/>
    <w:rsid w:val="003E6F8E"/>
    <w:rsid w:val="003E79A7"/>
    <w:rsid w:val="003F0AAD"/>
    <w:rsid w:val="003F592B"/>
    <w:rsid w:val="00405F35"/>
    <w:rsid w:val="00407150"/>
    <w:rsid w:val="00431403"/>
    <w:rsid w:val="00433CA5"/>
    <w:rsid w:val="0043780B"/>
    <w:rsid w:val="00441384"/>
    <w:rsid w:val="00443494"/>
    <w:rsid w:val="00444EBE"/>
    <w:rsid w:val="004471EB"/>
    <w:rsid w:val="004515B0"/>
    <w:rsid w:val="00455775"/>
    <w:rsid w:val="00455A0A"/>
    <w:rsid w:val="004620A9"/>
    <w:rsid w:val="0046413F"/>
    <w:rsid w:val="004647D3"/>
    <w:rsid w:val="00464E45"/>
    <w:rsid w:val="00474817"/>
    <w:rsid w:val="004802DE"/>
    <w:rsid w:val="0048284C"/>
    <w:rsid w:val="00490B96"/>
    <w:rsid w:val="00491B7E"/>
    <w:rsid w:val="004A2667"/>
    <w:rsid w:val="004A5636"/>
    <w:rsid w:val="004A6B5A"/>
    <w:rsid w:val="004B0646"/>
    <w:rsid w:val="004B40D9"/>
    <w:rsid w:val="004B7D0A"/>
    <w:rsid w:val="004C5C5B"/>
    <w:rsid w:val="004C5D5D"/>
    <w:rsid w:val="004D1489"/>
    <w:rsid w:val="004D4BC9"/>
    <w:rsid w:val="004D75B1"/>
    <w:rsid w:val="004E231E"/>
    <w:rsid w:val="004F0FCA"/>
    <w:rsid w:val="004F1676"/>
    <w:rsid w:val="004F66E4"/>
    <w:rsid w:val="00504974"/>
    <w:rsid w:val="00505822"/>
    <w:rsid w:val="00511935"/>
    <w:rsid w:val="00513F88"/>
    <w:rsid w:val="00515D04"/>
    <w:rsid w:val="00517DAA"/>
    <w:rsid w:val="00521276"/>
    <w:rsid w:val="005268AA"/>
    <w:rsid w:val="00541F13"/>
    <w:rsid w:val="00543523"/>
    <w:rsid w:val="00546ECA"/>
    <w:rsid w:val="00556949"/>
    <w:rsid w:val="00564DFE"/>
    <w:rsid w:val="00572370"/>
    <w:rsid w:val="0057271A"/>
    <w:rsid w:val="00574DAD"/>
    <w:rsid w:val="00581197"/>
    <w:rsid w:val="005831DC"/>
    <w:rsid w:val="00584364"/>
    <w:rsid w:val="00585A26"/>
    <w:rsid w:val="00585A41"/>
    <w:rsid w:val="00585B1B"/>
    <w:rsid w:val="005914EF"/>
    <w:rsid w:val="00593C41"/>
    <w:rsid w:val="00594417"/>
    <w:rsid w:val="00596F3C"/>
    <w:rsid w:val="005A0CA2"/>
    <w:rsid w:val="005B0BBB"/>
    <w:rsid w:val="005B0C06"/>
    <w:rsid w:val="005D2607"/>
    <w:rsid w:val="005D5F38"/>
    <w:rsid w:val="005E6DE2"/>
    <w:rsid w:val="005F7E9E"/>
    <w:rsid w:val="00606E6E"/>
    <w:rsid w:val="00610B8B"/>
    <w:rsid w:val="00614E0A"/>
    <w:rsid w:val="00615893"/>
    <w:rsid w:val="0061695D"/>
    <w:rsid w:val="00617514"/>
    <w:rsid w:val="00625B16"/>
    <w:rsid w:val="006433E9"/>
    <w:rsid w:val="0064358D"/>
    <w:rsid w:val="006436D8"/>
    <w:rsid w:val="00645E9A"/>
    <w:rsid w:val="0064757A"/>
    <w:rsid w:val="00647BA5"/>
    <w:rsid w:val="00651C1D"/>
    <w:rsid w:val="006528DB"/>
    <w:rsid w:val="00654DF9"/>
    <w:rsid w:val="00660174"/>
    <w:rsid w:val="006744F9"/>
    <w:rsid w:val="00681050"/>
    <w:rsid w:val="0069090F"/>
    <w:rsid w:val="00691C3C"/>
    <w:rsid w:val="00692613"/>
    <w:rsid w:val="00693553"/>
    <w:rsid w:val="0069614F"/>
    <w:rsid w:val="006B1F78"/>
    <w:rsid w:val="006B4E75"/>
    <w:rsid w:val="006B686B"/>
    <w:rsid w:val="006C2277"/>
    <w:rsid w:val="006C32CC"/>
    <w:rsid w:val="006C72FC"/>
    <w:rsid w:val="006C7946"/>
    <w:rsid w:val="006D3A93"/>
    <w:rsid w:val="006D4B07"/>
    <w:rsid w:val="006E3646"/>
    <w:rsid w:val="006E7213"/>
    <w:rsid w:val="00702DF0"/>
    <w:rsid w:val="0070344F"/>
    <w:rsid w:val="00713F7B"/>
    <w:rsid w:val="007143E5"/>
    <w:rsid w:val="007155D3"/>
    <w:rsid w:val="00721FA4"/>
    <w:rsid w:val="00723B90"/>
    <w:rsid w:val="00725FF9"/>
    <w:rsid w:val="0072799A"/>
    <w:rsid w:val="0073120D"/>
    <w:rsid w:val="00734C2D"/>
    <w:rsid w:val="0073717F"/>
    <w:rsid w:val="00746C66"/>
    <w:rsid w:val="007477D4"/>
    <w:rsid w:val="00751AC8"/>
    <w:rsid w:val="0075467C"/>
    <w:rsid w:val="007554DE"/>
    <w:rsid w:val="007739EE"/>
    <w:rsid w:val="0078646B"/>
    <w:rsid w:val="0078792C"/>
    <w:rsid w:val="00791501"/>
    <w:rsid w:val="00795522"/>
    <w:rsid w:val="007A0A13"/>
    <w:rsid w:val="007B25B1"/>
    <w:rsid w:val="007B28EC"/>
    <w:rsid w:val="007C201E"/>
    <w:rsid w:val="007D6F1D"/>
    <w:rsid w:val="007E12D8"/>
    <w:rsid w:val="007E1CC7"/>
    <w:rsid w:val="007E2EBD"/>
    <w:rsid w:val="007E5FE4"/>
    <w:rsid w:val="007F0ACD"/>
    <w:rsid w:val="007F51E5"/>
    <w:rsid w:val="007F5831"/>
    <w:rsid w:val="008010D4"/>
    <w:rsid w:val="008060FE"/>
    <w:rsid w:val="008061FE"/>
    <w:rsid w:val="00807074"/>
    <w:rsid w:val="008071EB"/>
    <w:rsid w:val="0081622F"/>
    <w:rsid w:val="00820B47"/>
    <w:rsid w:val="00821B70"/>
    <w:rsid w:val="0082430C"/>
    <w:rsid w:val="0082493C"/>
    <w:rsid w:val="008321AA"/>
    <w:rsid w:val="00833D20"/>
    <w:rsid w:val="0083463A"/>
    <w:rsid w:val="00840B20"/>
    <w:rsid w:val="008410D6"/>
    <w:rsid w:val="00845564"/>
    <w:rsid w:val="0084576E"/>
    <w:rsid w:val="00867F4A"/>
    <w:rsid w:val="00876496"/>
    <w:rsid w:val="00876902"/>
    <w:rsid w:val="008771B1"/>
    <w:rsid w:val="00887FDC"/>
    <w:rsid w:val="008A1D01"/>
    <w:rsid w:val="008A61DA"/>
    <w:rsid w:val="008B21F1"/>
    <w:rsid w:val="008C2AB3"/>
    <w:rsid w:val="008C2B9D"/>
    <w:rsid w:val="008D134D"/>
    <w:rsid w:val="008D13FB"/>
    <w:rsid w:val="008D142C"/>
    <w:rsid w:val="008D231C"/>
    <w:rsid w:val="008D28C3"/>
    <w:rsid w:val="008D6104"/>
    <w:rsid w:val="008D6B39"/>
    <w:rsid w:val="008E489E"/>
    <w:rsid w:val="008E5374"/>
    <w:rsid w:val="008E7859"/>
    <w:rsid w:val="008F0EC3"/>
    <w:rsid w:val="008F2C02"/>
    <w:rsid w:val="008F32CC"/>
    <w:rsid w:val="00904036"/>
    <w:rsid w:val="00911B56"/>
    <w:rsid w:val="00923AFC"/>
    <w:rsid w:val="00923B4C"/>
    <w:rsid w:val="00923D83"/>
    <w:rsid w:val="00926630"/>
    <w:rsid w:val="0093019E"/>
    <w:rsid w:val="0093145C"/>
    <w:rsid w:val="009360A8"/>
    <w:rsid w:val="00946EB5"/>
    <w:rsid w:val="00953418"/>
    <w:rsid w:val="0098274C"/>
    <w:rsid w:val="00985E6B"/>
    <w:rsid w:val="00986EDF"/>
    <w:rsid w:val="009A223B"/>
    <w:rsid w:val="009B23A4"/>
    <w:rsid w:val="009B26BE"/>
    <w:rsid w:val="009B4DA5"/>
    <w:rsid w:val="009B6F4F"/>
    <w:rsid w:val="009B7228"/>
    <w:rsid w:val="009C3BA7"/>
    <w:rsid w:val="009C453A"/>
    <w:rsid w:val="009D27F4"/>
    <w:rsid w:val="009E48EB"/>
    <w:rsid w:val="009E57EC"/>
    <w:rsid w:val="009F021F"/>
    <w:rsid w:val="00A04245"/>
    <w:rsid w:val="00A0490D"/>
    <w:rsid w:val="00A14EE8"/>
    <w:rsid w:val="00A17D4D"/>
    <w:rsid w:val="00A21355"/>
    <w:rsid w:val="00A25FB2"/>
    <w:rsid w:val="00A343AC"/>
    <w:rsid w:val="00A360D6"/>
    <w:rsid w:val="00A62644"/>
    <w:rsid w:val="00A643C4"/>
    <w:rsid w:val="00A64D2D"/>
    <w:rsid w:val="00A7199C"/>
    <w:rsid w:val="00A76144"/>
    <w:rsid w:val="00A7719E"/>
    <w:rsid w:val="00A836A2"/>
    <w:rsid w:val="00A87F59"/>
    <w:rsid w:val="00A96D80"/>
    <w:rsid w:val="00AB6467"/>
    <w:rsid w:val="00AB7EB8"/>
    <w:rsid w:val="00AC13CA"/>
    <w:rsid w:val="00AC1A51"/>
    <w:rsid w:val="00AC2774"/>
    <w:rsid w:val="00AC5168"/>
    <w:rsid w:val="00AC641C"/>
    <w:rsid w:val="00AD0F08"/>
    <w:rsid w:val="00AD468B"/>
    <w:rsid w:val="00AE598E"/>
    <w:rsid w:val="00B0495A"/>
    <w:rsid w:val="00B07B40"/>
    <w:rsid w:val="00B1106E"/>
    <w:rsid w:val="00B114D1"/>
    <w:rsid w:val="00B14B92"/>
    <w:rsid w:val="00B20635"/>
    <w:rsid w:val="00B21C85"/>
    <w:rsid w:val="00B41CFD"/>
    <w:rsid w:val="00B47B3E"/>
    <w:rsid w:val="00B77B22"/>
    <w:rsid w:val="00B8699B"/>
    <w:rsid w:val="00B924A7"/>
    <w:rsid w:val="00B93320"/>
    <w:rsid w:val="00B93385"/>
    <w:rsid w:val="00B9527E"/>
    <w:rsid w:val="00B9662B"/>
    <w:rsid w:val="00BA3D0A"/>
    <w:rsid w:val="00BA3EE9"/>
    <w:rsid w:val="00BA612F"/>
    <w:rsid w:val="00BA7676"/>
    <w:rsid w:val="00BB1D61"/>
    <w:rsid w:val="00BB1D70"/>
    <w:rsid w:val="00BB4E0E"/>
    <w:rsid w:val="00BB5AA2"/>
    <w:rsid w:val="00BD1DCE"/>
    <w:rsid w:val="00BD2D6F"/>
    <w:rsid w:val="00BD59DE"/>
    <w:rsid w:val="00BE1281"/>
    <w:rsid w:val="00BE6A3B"/>
    <w:rsid w:val="00BF25E8"/>
    <w:rsid w:val="00BF3AF9"/>
    <w:rsid w:val="00C00F54"/>
    <w:rsid w:val="00C013EF"/>
    <w:rsid w:val="00C027AD"/>
    <w:rsid w:val="00C0291A"/>
    <w:rsid w:val="00C029B6"/>
    <w:rsid w:val="00C053C7"/>
    <w:rsid w:val="00C074B5"/>
    <w:rsid w:val="00C12035"/>
    <w:rsid w:val="00C26D4D"/>
    <w:rsid w:val="00C32E31"/>
    <w:rsid w:val="00C36DA5"/>
    <w:rsid w:val="00C40AA1"/>
    <w:rsid w:val="00C43B27"/>
    <w:rsid w:val="00C45F7A"/>
    <w:rsid w:val="00C54966"/>
    <w:rsid w:val="00C56C2B"/>
    <w:rsid w:val="00C6307A"/>
    <w:rsid w:val="00C7232B"/>
    <w:rsid w:val="00C77226"/>
    <w:rsid w:val="00C77CA0"/>
    <w:rsid w:val="00C8022C"/>
    <w:rsid w:val="00C82A37"/>
    <w:rsid w:val="00C86545"/>
    <w:rsid w:val="00C875C8"/>
    <w:rsid w:val="00C87E16"/>
    <w:rsid w:val="00C943D4"/>
    <w:rsid w:val="00C96AFE"/>
    <w:rsid w:val="00C972DB"/>
    <w:rsid w:val="00CA53EA"/>
    <w:rsid w:val="00CC0233"/>
    <w:rsid w:val="00CC5082"/>
    <w:rsid w:val="00CD0210"/>
    <w:rsid w:val="00CD0F44"/>
    <w:rsid w:val="00CE0227"/>
    <w:rsid w:val="00CE5FBC"/>
    <w:rsid w:val="00CE60D7"/>
    <w:rsid w:val="00CF0D1D"/>
    <w:rsid w:val="00CF4CCB"/>
    <w:rsid w:val="00CF4DF8"/>
    <w:rsid w:val="00D022D6"/>
    <w:rsid w:val="00D03A30"/>
    <w:rsid w:val="00D05030"/>
    <w:rsid w:val="00D16C4D"/>
    <w:rsid w:val="00D1724D"/>
    <w:rsid w:val="00D245E7"/>
    <w:rsid w:val="00D301D2"/>
    <w:rsid w:val="00D3761C"/>
    <w:rsid w:val="00D4064A"/>
    <w:rsid w:val="00D41884"/>
    <w:rsid w:val="00D41E87"/>
    <w:rsid w:val="00D43C60"/>
    <w:rsid w:val="00D444E3"/>
    <w:rsid w:val="00D46BD6"/>
    <w:rsid w:val="00D522B5"/>
    <w:rsid w:val="00D54B3D"/>
    <w:rsid w:val="00D564A6"/>
    <w:rsid w:val="00D6577E"/>
    <w:rsid w:val="00D70B73"/>
    <w:rsid w:val="00D717EF"/>
    <w:rsid w:val="00D71CBB"/>
    <w:rsid w:val="00D805C6"/>
    <w:rsid w:val="00D84DBD"/>
    <w:rsid w:val="00D86B0A"/>
    <w:rsid w:val="00D915BB"/>
    <w:rsid w:val="00D95B9F"/>
    <w:rsid w:val="00D972AD"/>
    <w:rsid w:val="00DA2854"/>
    <w:rsid w:val="00DA505B"/>
    <w:rsid w:val="00DA6D62"/>
    <w:rsid w:val="00DB2412"/>
    <w:rsid w:val="00DC5426"/>
    <w:rsid w:val="00DD06E4"/>
    <w:rsid w:val="00DD19D5"/>
    <w:rsid w:val="00DE3F5B"/>
    <w:rsid w:val="00DE440C"/>
    <w:rsid w:val="00DE563B"/>
    <w:rsid w:val="00DF45B1"/>
    <w:rsid w:val="00DF5AD6"/>
    <w:rsid w:val="00DF6991"/>
    <w:rsid w:val="00DF6F11"/>
    <w:rsid w:val="00E00836"/>
    <w:rsid w:val="00E17E6A"/>
    <w:rsid w:val="00E22C6D"/>
    <w:rsid w:val="00E343EB"/>
    <w:rsid w:val="00E5789B"/>
    <w:rsid w:val="00E6025C"/>
    <w:rsid w:val="00E64657"/>
    <w:rsid w:val="00E65152"/>
    <w:rsid w:val="00E7111A"/>
    <w:rsid w:val="00E770A2"/>
    <w:rsid w:val="00E9096C"/>
    <w:rsid w:val="00E93462"/>
    <w:rsid w:val="00E96196"/>
    <w:rsid w:val="00EA156A"/>
    <w:rsid w:val="00EA4842"/>
    <w:rsid w:val="00EB4C8C"/>
    <w:rsid w:val="00EC39F7"/>
    <w:rsid w:val="00EC3DC3"/>
    <w:rsid w:val="00EE2456"/>
    <w:rsid w:val="00EE708E"/>
    <w:rsid w:val="00EF4E29"/>
    <w:rsid w:val="00EF56B0"/>
    <w:rsid w:val="00EF5C8C"/>
    <w:rsid w:val="00F0230F"/>
    <w:rsid w:val="00F12282"/>
    <w:rsid w:val="00F12B55"/>
    <w:rsid w:val="00F12D29"/>
    <w:rsid w:val="00F15C0F"/>
    <w:rsid w:val="00F2272C"/>
    <w:rsid w:val="00F24218"/>
    <w:rsid w:val="00F3355D"/>
    <w:rsid w:val="00F33951"/>
    <w:rsid w:val="00F40886"/>
    <w:rsid w:val="00F45CF0"/>
    <w:rsid w:val="00F47595"/>
    <w:rsid w:val="00F47811"/>
    <w:rsid w:val="00F52045"/>
    <w:rsid w:val="00F5224A"/>
    <w:rsid w:val="00F548F3"/>
    <w:rsid w:val="00F7148F"/>
    <w:rsid w:val="00F72969"/>
    <w:rsid w:val="00F74163"/>
    <w:rsid w:val="00F74A49"/>
    <w:rsid w:val="00F86A7F"/>
    <w:rsid w:val="00FA25E8"/>
    <w:rsid w:val="00FA2923"/>
    <w:rsid w:val="00FA390A"/>
    <w:rsid w:val="00FC4EFE"/>
    <w:rsid w:val="00FC7F72"/>
    <w:rsid w:val="00FE28F4"/>
    <w:rsid w:val="00FF0D3F"/>
    <w:rsid w:val="00FF1C19"/>
    <w:rsid w:val="033C4B1C"/>
    <w:rsid w:val="035C654B"/>
    <w:rsid w:val="06C129A6"/>
    <w:rsid w:val="06C75466"/>
    <w:rsid w:val="0A8A61FF"/>
    <w:rsid w:val="0B5A6E58"/>
    <w:rsid w:val="0E394ACB"/>
    <w:rsid w:val="11B8477C"/>
    <w:rsid w:val="1AA44A44"/>
    <w:rsid w:val="1DB04F20"/>
    <w:rsid w:val="238C6405"/>
    <w:rsid w:val="23D11C5F"/>
    <w:rsid w:val="23EB4A33"/>
    <w:rsid w:val="245277EF"/>
    <w:rsid w:val="24964A94"/>
    <w:rsid w:val="263129AE"/>
    <w:rsid w:val="289F6116"/>
    <w:rsid w:val="2BA33362"/>
    <w:rsid w:val="2D9836FA"/>
    <w:rsid w:val="2EAC1E11"/>
    <w:rsid w:val="2F8135BA"/>
    <w:rsid w:val="317A63D1"/>
    <w:rsid w:val="31A131FB"/>
    <w:rsid w:val="386B71DD"/>
    <w:rsid w:val="3A2630EE"/>
    <w:rsid w:val="3AE30103"/>
    <w:rsid w:val="3AE5202B"/>
    <w:rsid w:val="3E636CE0"/>
    <w:rsid w:val="3F776A39"/>
    <w:rsid w:val="45392515"/>
    <w:rsid w:val="480F37F8"/>
    <w:rsid w:val="49845562"/>
    <w:rsid w:val="4ECF7A46"/>
    <w:rsid w:val="4F7F76BE"/>
    <w:rsid w:val="51952E51"/>
    <w:rsid w:val="52C759E9"/>
    <w:rsid w:val="541A79B6"/>
    <w:rsid w:val="54E50E03"/>
    <w:rsid w:val="55937EC5"/>
    <w:rsid w:val="573E1B7C"/>
    <w:rsid w:val="58C92394"/>
    <w:rsid w:val="59B83DA2"/>
    <w:rsid w:val="5C967DF5"/>
    <w:rsid w:val="5D9030C2"/>
    <w:rsid w:val="5FDA10CF"/>
    <w:rsid w:val="62417C0F"/>
    <w:rsid w:val="62682234"/>
    <w:rsid w:val="644B5969"/>
    <w:rsid w:val="657B7EF8"/>
    <w:rsid w:val="6637461E"/>
    <w:rsid w:val="667F79B4"/>
    <w:rsid w:val="67895BD4"/>
    <w:rsid w:val="6ACA2C37"/>
    <w:rsid w:val="6C0420F4"/>
    <w:rsid w:val="6C571ECD"/>
    <w:rsid w:val="6ED97404"/>
    <w:rsid w:val="6F3516F0"/>
    <w:rsid w:val="744E7E7F"/>
    <w:rsid w:val="7C6B0D72"/>
    <w:rsid w:val="7D5E22F1"/>
    <w:rsid w:val="7EFD64E7"/>
    <w:rsid w:val="FECF2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99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6">
    <w:name w:val="heading 1"/>
    <w:basedOn w:val="1"/>
    <w:next w:val="1"/>
    <w:qFormat/>
    <w:uiPriority w:val="1"/>
    <w:pPr>
      <w:spacing w:line="669" w:lineRule="exact"/>
      <w:ind w:left="108"/>
      <w:jc w:val="center"/>
      <w:outlineLvl w:val="0"/>
    </w:pPr>
    <w:rPr>
      <w:rFonts w:ascii="方正小标宋简体" w:hAnsi="方正小标宋简体" w:eastAsia="方正小标宋简体" w:cs="方正小标宋简体"/>
      <w:sz w:val="44"/>
      <w:szCs w:val="44"/>
      <w:lang w:val="zh-CN" w:bidi="zh-CN"/>
    </w:rPr>
  </w:style>
  <w:style w:type="paragraph" w:styleId="7">
    <w:name w:val="heading 2"/>
    <w:basedOn w:val="1"/>
    <w:next w:val="1"/>
    <w:qFormat/>
    <w:uiPriority w:val="0"/>
    <w:pPr>
      <w:keepNext/>
      <w:keepLines/>
      <w:jc w:val="left"/>
      <w:outlineLvl w:val="1"/>
    </w:pPr>
    <w:rPr>
      <w:rFonts w:eastAsia="黑体"/>
      <w:sz w:val="30"/>
      <w:szCs w:val="32"/>
    </w:rPr>
  </w:style>
  <w:style w:type="character" w:default="1" w:styleId="19">
    <w:name w:val="Default Paragraph Font"/>
    <w:semiHidden/>
    <w:unhideWhenUsed/>
    <w:qFormat/>
    <w:uiPriority w:val="1"/>
  </w:style>
  <w:style w:type="table" w:default="1" w:styleId="1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link w:val="33"/>
    <w:unhideWhenUsed/>
    <w:qFormat/>
    <w:uiPriority w:val="99"/>
    <w:pPr>
      <w:widowControl/>
      <w:jc w:val="left"/>
    </w:pPr>
    <w:rPr>
      <w:rFonts w:ascii="宋体" w:hAnsi="宋体" w:cs="宋体"/>
      <w:kern w:val="0"/>
      <w:sz w:val="24"/>
    </w:rPr>
  </w:style>
  <w:style w:type="paragraph" w:styleId="3">
    <w:name w:val="Body Text Indent"/>
    <w:basedOn w:val="1"/>
    <w:next w:val="4"/>
    <w:link w:val="29"/>
    <w:qFormat/>
    <w:uiPriority w:val="0"/>
    <w:pPr>
      <w:spacing w:after="120"/>
      <w:ind w:left="420" w:leftChars="200"/>
    </w:pPr>
  </w:style>
  <w:style w:type="paragraph" w:styleId="4">
    <w:name w:val="Body Text First Indent 2"/>
    <w:basedOn w:val="3"/>
    <w:next w:val="5"/>
    <w:link w:val="30"/>
    <w:qFormat/>
    <w:uiPriority w:val="0"/>
    <w:pPr>
      <w:spacing w:after="0"/>
      <w:ind w:left="0" w:leftChars="0" w:firstLine="40"/>
    </w:pPr>
    <w:rPr>
      <w:rFonts w:ascii="仿宋_GB2312" w:hAnsi="仿宋_GB2312" w:eastAsia="仿宋" w:cs="仿宋_GB2312"/>
      <w:sz w:val="32"/>
      <w:szCs w:val="32"/>
    </w:rPr>
  </w:style>
  <w:style w:type="paragraph" w:styleId="5">
    <w:name w:val="Balloon Text"/>
    <w:basedOn w:val="1"/>
    <w:semiHidden/>
    <w:qFormat/>
    <w:uiPriority w:val="0"/>
    <w:rPr>
      <w:sz w:val="18"/>
      <w:szCs w:val="18"/>
    </w:rPr>
  </w:style>
  <w:style w:type="paragraph" w:styleId="8">
    <w:name w:val="annotation text"/>
    <w:basedOn w:val="1"/>
    <w:link w:val="27"/>
    <w:qFormat/>
    <w:uiPriority w:val="0"/>
    <w:pPr>
      <w:jc w:val="left"/>
    </w:pPr>
  </w:style>
  <w:style w:type="paragraph" w:styleId="9">
    <w:name w:val="Date"/>
    <w:basedOn w:val="1"/>
    <w:next w:val="1"/>
    <w:link w:val="35"/>
    <w:qFormat/>
    <w:uiPriority w:val="0"/>
    <w:pPr>
      <w:ind w:left="100" w:leftChars="2500"/>
    </w:pPr>
  </w:style>
  <w:style w:type="paragraph" w:styleId="10">
    <w:name w:val="footer"/>
    <w:basedOn w:val="1"/>
    <w:link w:val="2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1">
    <w:name w:val="header"/>
    <w:basedOn w:val="1"/>
    <w:link w:val="2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2">
    <w:name w:val="HTML Preformatted"/>
    <w:basedOn w:val="1"/>
    <w:link w:val="37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cs="宋体"/>
      <w:kern w:val="0"/>
      <w:sz w:val="24"/>
    </w:rPr>
  </w:style>
  <w:style w:type="paragraph" w:styleId="13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paragraph" w:styleId="14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15">
    <w:name w:val="annotation subject"/>
    <w:basedOn w:val="8"/>
    <w:next w:val="8"/>
    <w:link w:val="28"/>
    <w:qFormat/>
    <w:uiPriority w:val="0"/>
    <w:rPr>
      <w:b/>
      <w:bCs/>
    </w:rPr>
  </w:style>
  <w:style w:type="paragraph" w:styleId="16">
    <w:name w:val="Body Text First Indent"/>
    <w:basedOn w:val="2"/>
    <w:link w:val="34"/>
    <w:qFormat/>
    <w:uiPriority w:val="0"/>
    <w:pPr>
      <w:widowControl w:val="0"/>
      <w:spacing w:after="120"/>
      <w:ind w:firstLine="420" w:firstLineChars="100"/>
      <w:jc w:val="both"/>
    </w:pPr>
    <w:rPr>
      <w:rFonts w:ascii="Times New Roman" w:hAnsi="Times New Roman" w:cs="Times New Roman"/>
      <w:kern w:val="2"/>
      <w:sz w:val="21"/>
    </w:rPr>
  </w:style>
  <w:style w:type="table" w:styleId="18">
    <w:name w:val="Table Grid"/>
    <w:basedOn w:val="1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20">
    <w:name w:val="page number"/>
    <w:basedOn w:val="19"/>
    <w:qFormat/>
    <w:uiPriority w:val="0"/>
  </w:style>
  <w:style w:type="character" w:styleId="21">
    <w:name w:val="annotation reference"/>
    <w:qFormat/>
    <w:uiPriority w:val="0"/>
    <w:rPr>
      <w:sz w:val="21"/>
      <w:szCs w:val="21"/>
    </w:rPr>
  </w:style>
  <w:style w:type="paragraph" w:customStyle="1" w:styleId="22">
    <w:name w:val="正文-啊"/>
    <w:basedOn w:val="1"/>
    <w:qFormat/>
    <w:uiPriority w:val="0"/>
    <w:pPr>
      <w:spacing w:before="312" w:beforeLines="100" w:line="276" w:lineRule="auto"/>
      <w:ind w:left="210" w:right="210" w:firstLine="600"/>
      <w:contextualSpacing/>
    </w:pPr>
    <w:rPr>
      <w:rFonts w:ascii="微软雅黑" w:hAnsi="微软雅黑" w:eastAsia="微软雅黑"/>
      <w:color w:val="000000"/>
      <w:sz w:val="24"/>
      <w:szCs w:val="21"/>
    </w:rPr>
  </w:style>
  <w:style w:type="paragraph" w:customStyle="1" w:styleId="23">
    <w:name w:val="正文（首行缩进两字）"/>
    <w:basedOn w:val="1"/>
    <w:qFormat/>
    <w:uiPriority w:val="0"/>
    <w:pPr>
      <w:ind w:firstLine="420"/>
    </w:pPr>
    <w:rPr>
      <w:kern w:val="1"/>
      <w:szCs w:val="21"/>
    </w:rPr>
  </w:style>
  <w:style w:type="paragraph" w:customStyle="1" w:styleId="24">
    <w:name w:val="Char Char1 Char Char Char Char"/>
    <w:basedOn w:val="1"/>
    <w:qFormat/>
    <w:uiPriority w:val="0"/>
    <w:rPr>
      <w:rFonts w:ascii="Tahoma" w:hAnsi="Tahoma"/>
      <w:sz w:val="24"/>
      <w:szCs w:val="20"/>
    </w:rPr>
  </w:style>
  <w:style w:type="character" w:customStyle="1" w:styleId="25">
    <w:name w:val="页眉 Char"/>
    <w:link w:val="11"/>
    <w:qFormat/>
    <w:uiPriority w:val="0"/>
    <w:rPr>
      <w:kern w:val="2"/>
      <w:sz w:val="18"/>
      <w:szCs w:val="18"/>
    </w:rPr>
  </w:style>
  <w:style w:type="character" w:customStyle="1" w:styleId="26">
    <w:name w:val="页脚 Char"/>
    <w:link w:val="10"/>
    <w:qFormat/>
    <w:uiPriority w:val="99"/>
    <w:rPr>
      <w:kern w:val="2"/>
      <w:sz w:val="18"/>
      <w:szCs w:val="18"/>
    </w:rPr>
  </w:style>
  <w:style w:type="character" w:customStyle="1" w:styleId="27">
    <w:name w:val="批注文字 Char"/>
    <w:link w:val="8"/>
    <w:qFormat/>
    <w:uiPriority w:val="0"/>
    <w:rPr>
      <w:kern w:val="2"/>
      <w:sz w:val="21"/>
      <w:szCs w:val="24"/>
    </w:rPr>
  </w:style>
  <w:style w:type="character" w:customStyle="1" w:styleId="28">
    <w:name w:val="批注主题 Char"/>
    <w:link w:val="15"/>
    <w:qFormat/>
    <w:uiPriority w:val="0"/>
    <w:rPr>
      <w:b/>
      <w:bCs/>
      <w:kern w:val="2"/>
      <w:sz w:val="21"/>
      <w:szCs w:val="24"/>
    </w:rPr>
  </w:style>
  <w:style w:type="character" w:customStyle="1" w:styleId="29">
    <w:name w:val="正文文本缩进 Char"/>
    <w:link w:val="3"/>
    <w:qFormat/>
    <w:uiPriority w:val="0"/>
    <w:rPr>
      <w:kern w:val="2"/>
      <w:sz w:val="21"/>
      <w:szCs w:val="24"/>
    </w:rPr>
  </w:style>
  <w:style w:type="character" w:customStyle="1" w:styleId="30">
    <w:name w:val="正文首行缩进 2 Char"/>
    <w:link w:val="4"/>
    <w:qFormat/>
    <w:uiPriority w:val="0"/>
    <w:rPr>
      <w:rFonts w:ascii="仿宋_GB2312" w:hAnsi="仿宋_GB2312" w:eastAsia="仿宋" w:cs="仿宋_GB2312"/>
      <w:kern w:val="2"/>
      <w:sz w:val="32"/>
      <w:szCs w:val="32"/>
    </w:rPr>
  </w:style>
  <w:style w:type="paragraph" w:styleId="31">
    <w:name w:val="List Paragraph"/>
    <w:basedOn w:val="1"/>
    <w:qFormat/>
    <w:uiPriority w:val="1"/>
    <w:pPr>
      <w:spacing w:before="190"/>
      <w:ind w:left="108" w:right="116" w:firstLine="631"/>
    </w:pPr>
    <w:rPr>
      <w:rFonts w:ascii="仿宋_GB2312" w:hAnsi="仿宋_GB2312" w:eastAsia="仿宋_GB2312" w:cs="仿宋_GB2312"/>
      <w:lang w:val="zh-CN" w:bidi="zh-CN"/>
    </w:rPr>
  </w:style>
  <w:style w:type="paragraph" w:customStyle="1" w:styleId="32">
    <w:name w:val="一级标题"/>
    <w:basedOn w:val="1"/>
    <w:qFormat/>
    <w:uiPriority w:val="0"/>
    <w:pPr>
      <w:spacing w:line="700" w:lineRule="exact"/>
      <w:jc w:val="center"/>
      <w:outlineLvl w:val="0"/>
    </w:pPr>
    <w:rPr>
      <w:rFonts w:ascii="方正小标宋简体" w:eastAsia="方正小标宋简体"/>
      <w:sz w:val="44"/>
      <w:szCs w:val="44"/>
    </w:rPr>
  </w:style>
  <w:style w:type="character" w:customStyle="1" w:styleId="33">
    <w:name w:val="正文文本 Char"/>
    <w:basedOn w:val="19"/>
    <w:link w:val="2"/>
    <w:qFormat/>
    <w:uiPriority w:val="99"/>
    <w:rPr>
      <w:rFonts w:ascii="宋体" w:hAnsi="宋体" w:cs="宋体"/>
      <w:sz w:val="24"/>
      <w:szCs w:val="24"/>
    </w:rPr>
  </w:style>
  <w:style w:type="character" w:customStyle="1" w:styleId="34">
    <w:name w:val="正文首行缩进 Char"/>
    <w:basedOn w:val="33"/>
    <w:link w:val="16"/>
    <w:qFormat/>
    <w:uiPriority w:val="0"/>
    <w:rPr>
      <w:rFonts w:ascii="宋体" w:hAnsi="宋体" w:cs="宋体"/>
      <w:kern w:val="2"/>
      <w:sz w:val="21"/>
      <w:szCs w:val="24"/>
    </w:rPr>
  </w:style>
  <w:style w:type="character" w:customStyle="1" w:styleId="35">
    <w:name w:val="日期 Char"/>
    <w:basedOn w:val="19"/>
    <w:link w:val="9"/>
    <w:qFormat/>
    <w:uiPriority w:val="0"/>
    <w:rPr>
      <w:kern w:val="2"/>
      <w:sz w:val="21"/>
      <w:szCs w:val="24"/>
    </w:rPr>
  </w:style>
  <w:style w:type="paragraph" w:customStyle="1" w:styleId="36">
    <w:name w:val="BodyText1I2"/>
    <w:basedOn w:val="1"/>
    <w:next w:val="1"/>
    <w:qFormat/>
    <w:uiPriority w:val="0"/>
    <w:pPr>
      <w:spacing w:after="120"/>
      <w:ind w:left="420" w:leftChars="200" w:firstLine="420" w:firstLineChars="200"/>
      <w:textAlignment w:val="baseline"/>
    </w:pPr>
    <w:rPr>
      <w:rFonts w:hAnsi="Calibri" w:eastAsia="仿宋_GB2312" w:cs="宋体"/>
      <w:sz w:val="32"/>
    </w:rPr>
  </w:style>
  <w:style w:type="character" w:customStyle="1" w:styleId="37">
    <w:name w:val="HTML 预设格式 Char"/>
    <w:basedOn w:val="19"/>
    <w:link w:val="12"/>
    <w:qFormat/>
    <w:uiPriority w:val="0"/>
    <w:rPr>
      <w:rFonts w:ascii="宋体" w:hAnsi="宋体" w:cs="宋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18</Pages>
  <Words>1399</Words>
  <Characters>7975</Characters>
  <Lines>66</Lines>
  <Paragraphs>18</Paragraphs>
  <TotalTime>14</TotalTime>
  <ScaleCrop>false</ScaleCrop>
  <LinksUpToDate>false</LinksUpToDate>
  <CharactersWithSpaces>9356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2023-07-20T15:17:00Z</dcterms:created>
  <dc:creator>微软用户</dc:creator>
  <cp:lastModifiedBy>ycak</cp:lastModifiedBy>
  <cp:lastPrinted>2023-07-20T15:32:00Z</cp:lastPrinted>
  <dcterms:modified xsi:type="dcterms:W3CDTF">2023-11-24T15:59:04Z</dcterms:modified>
  <dc:title>丽水市政府和社会资本合作项目联合审查工作领导小组办公室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  <property fmtid="{D5CDD505-2E9C-101B-9397-08002B2CF9AE}" pid="3" name="ICV">
    <vt:lpwstr>3849F3430232453B831B5E230C86F6E0</vt:lpwstr>
  </property>
</Properties>
</file>