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关于拟纳入医疗保险协议管理零售药店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国家医保局〈医疗机构医疗保障定点管理暂行办法〉〈零售药店医疗保障定点管理暂行办法〉》（3号令）、《自治区医保局关于印发&lt;宁夏回族自治区医疗保障医药机构申请医保定点评估细则（试行）&gt;的通知》（宁医保函〔2021〕195号）和《关于印发&lt;吴忠市医药机构医保定点评估暂行办法&gt;的通知》（吴医保规发〔2021〕2号）等法律法规及相关政策规定，经材料受理、实地评估等工作程序，拟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盐池县力芬药店、盐池县恒康药店、盐池县老百姓大药房花马池西街店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开通个人账户刷卡业务的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零售药店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纳入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盐池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县医疗保险协议管理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(名单见附件)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，现予公示。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公示时间：2023年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日至2023年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受理单位：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盐池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县医疗保障局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地址及邮编：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盐池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政务服务中心五楼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751500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0953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6012029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如对公示结果有疑义，可在公示期间向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盐池县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医疗保障局反映。单位或个人反映情况和问题应实事求是，客观公正，并提供真实姓名、联系电话、联系地址，以便核实情况。我局对有关单位或个人信息严格保密，依照相关规定对所反映的情况和问题将进行核实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盐池县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拟纳入医疗保险协议管理零售药店公示名单</w:t>
      </w:r>
    </w:p>
    <w:tbl>
      <w:tblPr>
        <w:tblStyle w:val="5"/>
        <w:tblW w:w="9390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5"/>
        <w:gridCol w:w="690"/>
        <w:gridCol w:w="1090"/>
        <w:gridCol w:w="794"/>
        <w:gridCol w:w="1592"/>
        <w:gridCol w:w="870"/>
        <w:gridCol w:w="2674"/>
        <w:gridCol w:w="12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机构 类型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机构名称</w:t>
            </w:r>
          </w:p>
        </w:tc>
        <w:tc>
          <w:tcPr>
            <w:tcW w:w="7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类型</w:t>
            </w: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地址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法人代表</w:t>
            </w:r>
          </w:p>
        </w:tc>
        <w:tc>
          <w:tcPr>
            <w:tcW w:w="2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营业执照信用代码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医保联系人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药店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eastAsia="zh-CN"/>
              </w:rPr>
              <w:t>盐池县力芬药店</w:t>
            </w:r>
          </w:p>
        </w:tc>
        <w:tc>
          <w:tcPr>
            <w:tcW w:w="7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单体</w:t>
            </w: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盐池县惠安堡镇市场内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韩自力</w:t>
            </w:r>
          </w:p>
        </w:tc>
        <w:tc>
          <w:tcPr>
            <w:tcW w:w="2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92640323MA76HYJG2A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韩自力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药店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eastAsia="zh-CN"/>
              </w:rPr>
              <w:t>盐池县恒康药店</w:t>
            </w:r>
          </w:p>
        </w:tc>
        <w:tc>
          <w:tcPr>
            <w:tcW w:w="7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单体</w:t>
            </w: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盐池县高沙窝镇金沙街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68号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张波</w:t>
            </w:r>
          </w:p>
        </w:tc>
        <w:tc>
          <w:tcPr>
            <w:tcW w:w="2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92640323MA75Y5855W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张波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药店</w:t>
            </w: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盐池县老百姓大药房花马池西街店</w:t>
            </w:r>
          </w:p>
        </w:tc>
        <w:tc>
          <w:tcPr>
            <w:tcW w:w="7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单体</w:t>
            </w: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盐池县花马池西街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153号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李平</w:t>
            </w:r>
          </w:p>
        </w:tc>
        <w:tc>
          <w:tcPr>
            <w:tcW w:w="26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 w:eastAsia="zh-CN"/>
              </w:rPr>
              <w:t>91640323MAC9D3866B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李平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930" w:firstLineChars="3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930" w:firstLineChars="3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OGM2Nzk4ZTk2MDc1YWU2M2M0ZGY4MGI1YWIyNmIifQ=="/>
  </w:docVars>
  <w:rsids>
    <w:rsidRoot w:val="00000000"/>
    <w:rsid w:val="060E288C"/>
    <w:rsid w:val="3BCB0920"/>
    <w:rsid w:val="64223BEF"/>
    <w:rsid w:val="66D22F74"/>
    <w:rsid w:val="6E731D44"/>
    <w:rsid w:val="7CD04E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453</Characters>
  <Lines>0</Lines>
  <Paragraphs>0</Paragraphs>
  <ScaleCrop>false</ScaleCrop>
  <LinksUpToDate>false</LinksUpToDate>
  <CharactersWithSpaces>453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2023-06-07T01:28:00Z</dcterms:created>
  <dc:creator>Administrator</dc:creator>
  <cp:lastModifiedBy>Administrator</cp:lastModifiedBy>
  <dcterms:modified xsi:type="dcterms:W3CDTF">2023-11-23T06:47:23Z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796857C5D9D94D27ACE96C91481BF012_12</vt:lpwstr>
  </property>
</Properties>
</file>