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00" w:lineRule="exact"/>
        <w:ind w:left="0" w:leftChars="0" w:firstLine="0" w:firstLineChars="0"/>
        <w:jc w:val="both"/>
        <w:rPr>
          <w:rFonts w:hint="eastAsia" w:ascii="黑体" w:hAnsi="黑体" w:eastAsia="黑体"/>
          <w:sz w:val="28"/>
          <w:szCs w:val="28"/>
          <w:lang w:val="en-US" w:eastAsia="zh-CN"/>
        </w:rPr>
      </w:pPr>
      <w:r>
        <w:rPr>
          <w:rFonts w:hint="eastAsia" w:ascii="黑体" w:hAnsi="黑体" w:eastAsia="黑体"/>
          <w:sz w:val="28"/>
          <w:szCs w:val="28"/>
          <w:lang w:val="en-US" w:eastAsia="zh-CN"/>
        </w:rPr>
        <w:t>附件1</w:t>
      </w:r>
    </w:p>
    <w:p>
      <w:pPr>
        <w:pStyle w:val="2"/>
        <w:ind w:left="640" w:firstLine="440"/>
        <w:rPr>
          <w:rFonts w:hint="eastAsia"/>
          <w:lang w:val="en-US" w:eastAsia="zh-CN"/>
        </w:rPr>
      </w:pPr>
    </w:p>
    <w:p>
      <w:pPr>
        <w:pStyle w:val="2"/>
        <w:ind w:left="640" w:firstLine="440"/>
        <w:rPr>
          <w:rFonts w:hint="eastAsia"/>
          <w:lang w:val="en-US" w:eastAsia="zh-CN"/>
        </w:rPr>
      </w:pPr>
    </w:p>
    <w:p>
      <w:pPr>
        <w:pStyle w:val="2"/>
        <w:ind w:left="640" w:firstLine="440"/>
        <w:rPr>
          <w:rFonts w:hint="eastAsia"/>
          <w:lang w:val="en-US" w:eastAsia="zh-CN"/>
        </w:rPr>
      </w:pPr>
    </w:p>
    <w:p>
      <w:pPr>
        <w:spacing w:line="360" w:lineRule="exact"/>
        <w:jc w:val="center"/>
        <w:rPr>
          <w:rFonts w:hint="eastAsia"/>
          <w:color w:val="000000"/>
        </w:rPr>
      </w:pPr>
    </w:p>
    <w:p>
      <w:pPr>
        <w:ind w:left="2240" w:leftChars="700" w:right="2240" w:rightChars="700"/>
        <w:jc w:val="distribute"/>
        <w:rPr>
          <w:rFonts w:hint="eastAsia" w:ascii="方正小标宋_GBK" w:hAnsi="方正小标宋_GBK" w:eastAsia="方正小标宋_GBK" w:cs="方正小标宋_GBK"/>
          <w:color w:val="FF0000"/>
          <w:sz w:val="52"/>
        </w:rPr>
      </w:pPr>
      <w:r>
        <w:rPr>
          <w:rFonts w:hint="eastAsia" w:ascii="方正小标宋_GBK" w:hAnsi="方正小标宋_GBK" w:eastAsia="方正小标宋_GBK" w:cs="方正小标宋_GBK"/>
          <w:color w:val="FF0000"/>
          <w:sz w:val="52"/>
        </w:rPr>
        <w:t>宁夏回族自治区</w:t>
      </w:r>
    </w:p>
    <w:p>
      <w:pPr>
        <w:jc w:val="center"/>
        <w:rPr>
          <w:rFonts w:hint="eastAsia" w:ascii="方正小标宋_GBK" w:hAnsi="方正小标宋_GBK" w:eastAsia="方正小标宋_GBK" w:cs="方正小标宋_GBK"/>
          <w:color w:val="FF0000"/>
          <w:sz w:val="84"/>
        </w:rPr>
      </w:pPr>
      <w:r>
        <w:rPr>
          <w:rFonts w:hint="eastAsia" w:ascii="方正小标宋_GBK" w:hAnsi="方正小标宋_GBK" w:eastAsia="方正小标宋_GBK" w:cs="方正小标宋_GBK"/>
          <w:color w:val="FF0000"/>
          <w:sz w:val="84"/>
        </w:rPr>
        <w:t>发展和改革委员会文件</w:t>
      </w:r>
    </w:p>
    <w:p>
      <w:pPr>
        <w:spacing w:line="400" w:lineRule="exact"/>
        <w:jc w:val="center"/>
        <w:rPr>
          <w:rFonts w:hint="eastAsia"/>
          <w:color w:val="000000"/>
        </w:rPr>
      </w:pPr>
      <w:bookmarkStart w:id="0" w:name="bianhao"/>
    </w:p>
    <w:p>
      <w:pPr>
        <w:spacing w:line="560" w:lineRule="exact"/>
        <w:jc w:val="center"/>
        <w:rPr>
          <w:rFonts w:hint="eastAsia" w:ascii="楷体_GB2312" w:eastAsia="楷体_GB2312"/>
          <w:color w:val="000000"/>
        </w:rPr>
      </w:pPr>
      <w:r>
        <w:rPr>
          <w:rFonts w:hint="eastAsia"/>
          <w:color w:val="000000"/>
        </w:rPr>
        <w:t>宁发改投资〔2020〕105号</w:t>
      </w:r>
      <w:bookmarkEnd w:id="0"/>
    </w:p>
    <w:p>
      <w:pPr>
        <w:pStyle w:val="6"/>
        <w:spacing w:line="400" w:lineRule="exact"/>
        <w:ind w:left="0" w:right="28" w:firstLine="0"/>
        <w:jc w:val="center"/>
        <w:rPr>
          <w:rFonts w:ascii="Times New Roman" w:eastAsia="方正小标宋简体"/>
          <w:sz w:val="44"/>
        </w:rPr>
      </w:pPr>
      <w:r>
        <w:rPr>
          <w:rFonts w:ascii="Times New Roman"/>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99695</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FFFFFF"/>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55pt;margin-top:7.85pt;height:0pt;width:442.2pt;z-index:251659264;mso-width-relative:page;mso-height-relative:page;" filled="f" stroked="t" coordsize="21600,21600" o:gfxdata="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CP52V1AAAAAcBAAAPAAAAAAAAAAEAIAAAADgAAABkcnMvZG93bnJldi54bWxQSwECFAAUAAAA&#10;CACHTuJAz7g3LtwBAACaAwAADgAAAAAAAAABACAAAAA5AQAAZHJzL2Uyb0RvYy54bWxQSwUGAAAA&#10;AAYABgBZAQAAhwUAAAAA&#10;">
                <v:fill on="f" focussize="0,0"/>
                <v:stroke weight="1pt" color="#FFFFFF" joinstyle="round"/>
                <v:imagedata o:title=""/>
                <o:lock v:ext="edit" aspectratio="f"/>
              </v:line>
            </w:pict>
          </mc:Fallback>
        </mc:AlternateContent>
      </w:r>
      <w:r>
        <w:rPr>
          <w:rFonts w:ascii="Times New Roman"/>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29210</wp:posOffset>
                </wp:positionV>
                <wp:extent cx="5615940" cy="0"/>
                <wp:effectExtent l="0" t="9525" r="3810" b="9525"/>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55pt;margin-top:2.3pt;height:0pt;width:442.2pt;z-index:251658240;mso-width-relative:page;mso-height-relative:page;" filled="f" stroked="t" coordsize="21600,21600" o:gfxdata="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xA/0g0wAAAAUBAAAPAAAAAAAAAAEAIAAAADgAAABkcnMvZG93bnJldi54bWxQSwECFAAU&#10;AAAACACHTuJAkoveyeABAACaAwAADgAAAAAAAAABACAAAAA4AQAAZHJzL2Uyb0RvYy54bWxQSwUG&#10;AAAAAAYABgBZAQAAigUAAAAA&#10;">
                <v:fill on="f" focussize="0,0"/>
                <v:stroke weight="1.5pt" color="#FF0000" joinstyle="round"/>
                <v:imagedata o:title=""/>
                <o:lock v:ext="edit" aspectratio="f"/>
              </v:line>
            </w:pict>
          </mc:Fallback>
        </mc:AlternateContent>
      </w:r>
    </w:p>
    <w:p>
      <w:pPr>
        <w:spacing w:line="400" w:lineRule="exact"/>
        <w:jc w:val="center"/>
        <w:rPr>
          <w:rFonts w:hint="eastAsia" w:hAnsi="华文中宋" w:eastAsia="华文中宋"/>
          <w:sz w:val="44"/>
          <w:szCs w:val="44"/>
        </w:rPr>
      </w:pPr>
    </w:p>
    <w:p>
      <w:pPr>
        <w:spacing w:line="700" w:lineRule="exact"/>
        <w:jc w:val="center"/>
        <w:rPr>
          <w:rFonts w:eastAsia="方正小标宋_GBK"/>
          <w:sz w:val="44"/>
          <w:szCs w:val="44"/>
        </w:rPr>
      </w:pPr>
      <w:r>
        <w:rPr>
          <w:rFonts w:eastAsia="方正小标宋_GBK"/>
          <w:sz w:val="44"/>
          <w:szCs w:val="44"/>
        </w:rPr>
        <w:t>自治区发展改革委关于印发</w:t>
      </w:r>
    </w:p>
    <w:p>
      <w:pPr>
        <w:spacing w:line="700" w:lineRule="exact"/>
        <w:jc w:val="center"/>
        <w:rPr>
          <w:rFonts w:eastAsia="方正小标宋_GBK"/>
          <w:color w:val="000000"/>
          <w:sz w:val="44"/>
          <w:szCs w:val="44"/>
        </w:rPr>
      </w:pPr>
      <w:r>
        <w:rPr>
          <w:rFonts w:eastAsia="方正小标宋_GBK"/>
          <w:color w:val="000000"/>
          <w:sz w:val="44"/>
          <w:szCs w:val="44"/>
        </w:rPr>
        <w:t>《“十四五”项目谋划指南》的通知</w:t>
      </w:r>
    </w:p>
    <w:p>
      <w:pPr>
        <w:spacing w:line="400" w:lineRule="exact"/>
        <w:rPr>
          <w:rStyle w:val="19"/>
          <w:rFonts w:eastAsia="仿宋_GB2312"/>
          <w:i w:val="0"/>
          <w:szCs w:val="32"/>
          <w:shd w:val="clear" w:color="auto" w:fill="FFFFFF"/>
        </w:rPr>
      </w:pPr>
    </w:p>
    <w:p>
      <w:pPr>
        <w:spacing w:line="620" w:lineRule="exact"/>
        <w:rPr>
          <w:rStyle w:val="19"/>
          <w:rFonts w:eastAsia="仿宋_GB2312"/>
          <w:i w:val="0"/>
          <w:szCs w:val="32"/>
          <w:shd w:val="clear" w:color="auto" w:fill="FFFFFF"/>
        </w:rPr>
      </w:pPr>
      <w:r>
        <w:rPr>
          <w:rStyle w:val="19"/>
          <w:rFonts w:eastAsia="仿宋_GB2312"/>
          <w:i w:val="0"/>
          <w:szCs w:val="32"/>
          <w:shd w:val="clear" w:color="auto" w:fill="FFFFFF"/>
        </w:rPr>
        <w:t>各市、县（区）人民政府，自治区各有关部门：</w:t>
      </w:r>
      <w:r>
        <w:rPr>
          <w:rStyle w:val="19"/>
          <w:rFonts w:eastAsia="仿宋_GB2312"/>
          <w:i w:val="0"/>
          <w:szCs w:val="32"/>
          <w:shd w:val="clear" w:color="auto" w:fill="FFFFFF"/>
        </w:rPr>
        <w:br w:type="textWrapping"/>
      </w:r>
      <w:r>
        <w:rPr>
          <w:rStyle w:val="19"/>
          <w:rFonts w:eastAsia="仿宋_GB2312"/>
          <w:i w:val="0"/>
          <w:szCs w:val="32"/>
          <w:shd w:val="clear" w:color="auto" w:fill="FFFFFF"/>
        </w:rPr>
        <w:t xml:space="preserve">    项目是稳定经济增长、调整经济结构的关键抓手。为进一步充实完善自治区“十四五”项目库，谋划一批争取列入国家“十四五”规划项目和中央预算内投资项目，我委结合国家政策导向、中央投资方向和自治区重大战略，围绕农林水利、工业、服务业、社会卫生公共事业、交通基础设施、城市基础设施、生态环保等领域及银川都市圈、“一带一路”建设、黄河流域生态保护和高质量发展等工作，研究制定了《“十四五”项目谋划指南》，请各地、各部门参考并抓紧组织开展项目谋划工作。</w:t>
      </w:r>
    </w:p>
    <w:p>
      <w:pPr>
        <w:spacing w:line="620" w:lineRule="exact"/>
        <w:ind w:firstLine="640"/>
        <w:rPr>
          <w:rStyle w:val="19"/>
          <w:rFonts w:eastAsia="仿宋_GB2312"/>
          <w:i w:val="0"/>
          <w:color w:val="FF0000"/>
          <w:szCs w:val="32"/>
          <w:shd w:val="clear" w:color="auto" w:fill="FFFFFF"/>
        </w:rPr>
      </w:pPr>
      <w:r>
        <w:rPr>
          <w:rStyle w:val="19"/>
          <w:rFonts w:eastAsia="楷体"/>
          <w:i w:val="0"/>
          <w:szCs w:val="32"/>
          <w:shd w:val="clear" w:color="auto" w:fill="FFFFFF"/>
        </w:rPr>
        <w:t>（一）高度重视，加强互动。</w:t>
      </w:r>
      <w:r>
        <w:rPr>
          <w:rStyle w:val="19"/>
          <w:rFonts w:eastAsia="仿宋_GB2312"/>
          <w:i w:val="0"/>
          <w:szCs w:val="32"/>
          <w:shd w:val="clear" w:color="auto" w:fill="FFFFFF"/>
        </w:rPr>
        <w:t>“十四五”是开启全面建设社会主义现代化国家新征程的第一个五年，也是我区经济转型升级、推动高质量发展至关重要的五年。各地、各部门要牢固树立“抓项</w:t>
      </w:r>
      <w:r>
        <w:rPr>
          <w:rStyle w:val="19"/>
          <w:rFonts w:eastAsia="仿宋_GB2312"/>
          <w:i w:val="0"/>
          <w:spacing w:val="4"/>
          <w:szCs w:val="32"/>
          <w:shd w:val="clear" w:color="auto" w:fill="FFFFFF"/>
        </w:rPr>
        <w:t>目就是抓发展，谋项目就是谋未来”</w:t>
      </w:r>
      <w:r>
        <w:rPr>
          <w:rStyle w:val="19"/>
          <w:rFonts w:hint="eastAsia" w:eastAsia="仿宋_GB2312"/>
          <w:i w:val="0"/>
          <w:spacing w:val="4"/>
          <w:szCs w:val="32"/>
          <w:shd w:val="clear" w:color="auto" w:fill="FFFFFF"/>
        </w:rPr>
        <w:t>的理念</w:t>
      </w:r>
      <w:r>
        <w:rPr>
          <w:rStyle w:val="19"/>
          <w:rFonts w:eastAsia="仿宋_GB2312"/>
          <w:i w:val="0"/>
          <w:spacing w:val="4"/>
          <w:szCs w:val="32"/>
          <w:shd w:val="clear" w:color="auto" w:fill="FFFFFF"/>
        </w:rPr>
        <w:t>，谋划长远、干在当下，切实将项目谋划工作落实、落深、落细。要强化上下联动、纵横协同推进，齐心协力、凝心聚力谋划实施一批高质量项目，以高质量项目推动高质量发展，为“十四五”奠定良好的发展基础。</w:t>
      </w:r>
      <w:r>
        <w:rPr>
          <w:rStyle w:val="19"/>
          <w:rFonts w:eastAsia="仿宋_GB2312"/>
          <w:i w:val="0"/>
          <w:spacing w:val="4"/>
          <w:szCs w:val="32"/>
          <w:shd w:val="clear" w:color="auto" w:fill="FFFFFF"/>
        </w:rPr>
        <w:br w:type="textWrapping"/>
      </w:r>
      <w:r>
        <w:rPr>
          <w:rStyle w:val="19"/>
          <w:rFonts w:eastAsia="仿宋_GB2312"/>
          <w:i w:val="0"/>
          <w:szCs w:val="32"/>
          <w:shd w:val="clear" w:color="auto" w:fill="FFFFFF"/>
        </w:rPr>
        <w:t xml:space="preserve">    </w:t>
      </w:r>
      <w:r>
        <w:rPr>
          <w:rStyle w:val="19"/>
          <w:rFonts w:eastAsia="楷体"/>
          <w:i w:val="0"/>
          <w:szCs w:val="32"/>
          <w:shd w:val="clear" w:color="auto" w:fill="FFFFFF"/>
        </w:rPr>
        <w:t>（二）强化项目入库管理，充实“十四五”项目库。</w:t>
      </w:r>
      <w:r>
        <w:rPr>
          <w:rStyle w:val="19"/>
          <w:rFonts w:eastAsia="仿宋_GB2312"/>
          <w:i w:val="0"/>
          <w:szCs w:val="32"/>
          <w:shd w:val="clear" w:color="auto" w:fill="FFFFFF"/>
        </w:rPr>
        <w:t>依托国家重大建设项目库，做实我区“十四五”项目库。各地、各部门谋划项目要进入国家重大建设项目库进行本地储备，并将项目“基本信息-审核辅助标识03”标记为“十四五”</w:t>
      </w:r>
      <w:r>
        <w:rPr>
          <w:rStyle w:val="19"/>
          <w:rFonts w:hint="eastAsia"/>
          <w:i w:val="0"/>
          <w:szCs w:val="32"/>
          <w:shd w:val="clear" w:color="auto" w:fill="FFFFFF"/>
          <w:lang w:eastAsia="zh-CN"/>
        </w:rPr>
        <w:t>规</w:t>
      </w:r>
      <w:bookmarkStart w:id="784" w:name="_GoBack"/>
      <w:bookmarkEnd w:id="784"/>
      <w:r>
        <w:rPr>
          <w:rStyle w:val="19"/>
          <w:rFonts w:eastAsia="仿宋_GB2312"/>
          <w:i w:val="0"/>
          <w:szCs w:val="32"/>
          <w:shd w:val="clear" w:color="auto" w:fill="FFFFFF"/>
        </w:rPr>
        <w:t>划项目，实行统筹调度、滚动管理、持续推进。对未纳入国家重大建设项目库管理的项目，我委将在争取列入国家“十四五”规划纲要和编制审核自治区“十四五”规划时不予考虑，在编制中央预算内投资计划和自治区预算内统筹投资计划时不予安排投资。</w:t>
      </w:r>
    </w:p>
    <w:p>
      <w:pPr>
        <w:spacing w:line="620" w:lineRule="exact"/>
        <w:ind w:firstLine="640"/>
        <w:rPr>
          <w:rStyle w:val="19"/>
          <w:rFonts w:eastAsia="仿宋_GB2312"/>
          <w:i w:val="0"/>
          <w:szCs w:val="32"/>
          <w:shd w:val="clear" w:color="auto" w:fill="FFFFFF"/>
        </w:rPr>
      </w:pPr>
      <w:r>
        <w:rPr>
          <w:rStyle w:val="19"/>
          <w:rFonts w:eastAsia="楷体"/>
          <w:i w:val="0"/>
          <w:szCs w:val="32"/>
          <w:shd w:val="clear" w:color="auto" w:fill="FFFFFF"/>
        </w:rPr>
        <w:t>（三）加快推进前期工作，力争项目尽早开工。</w:t>
      </w:r>
      <w:r>
        <w:rPr>
          <w:rStyle w:val="19"/>
          <w:rFonts w:eastAsia="仿宋_GB2312"/>
          <w:i w:val="0"/>
          <w:szCs w:val="32"/>
          <w:shd w:val="clear" w:color="auto" w:fill="FFFFFF"/>
        </w:rPr>
        <w:t>各地、各部门要切实做到“在建有项目、近期有开工、长远有谋划”。针对“十四五”规划项目库近期（2020年~2023年）部分条件成熟的项目，要靠前主动服务，加快办理各阶段审批手续，特别是对重大项目要开辟绿色通道，同时督促加大征地拆迁、市政配套、水电接入、资金落实等推进力度。对重大基础设施等项目要进一步加强项目选址的统筹规划布局，提高资金和技术管理水平，降低项目风险隐患，保障项目有序推进，确保近期项目中2020-2021年每年开工项目数量不低于1/3。</w:t>
      </w:r>
    </w:p>
    <w:p>
      <w:pPr>
        <w:spacing w:line="620" w:lineRule="exact"/>
        <w:ind w:firstLine="640"/>
        <w:rPr>
          <w:bCs/>
          <w:szCs w:val="32"/>
        </w:rPr>
      </w:pPr>
      <w:r>
        <w:rPr>
          <w:rStyle w:val="19"/>
          <w:rFonts w:eastAsia="楷体"/>
          <w:i w:val="0"/>
          <w:szCs w:val="32"/>
          <w:shd w:val="clear" w:color="auto" w:fill="FFFFFF"/>
        </w:rPr>
        <w:t>（四）开展定期通报，重点倾斜支持。</w:t>
      </w:r>
      <w:r>
        <w:rPr>
          <w:rStyle w:val="19"/>
          <w:rFonts w:eastAsia="仿宋_GB2312"/>
          <w:i w:val="0"/>
          <w:szCs w:val="32"/>
          <w:shd w:val="clear" w:color="auto" w:fill="FFFFFF"/>
        </w:rPr>
        <w:t>我委将对各地、各部门项目谋划情况进行月调度、季通报，并在编报年度中央预算内投资计划、安排自治区预算内统筹投资和项目前期费中优先支持工作开展较好的地区和部门。</w:t>
      </w:r>
    </w:p>
    <w:p>
      <w:pPr>
        <w:spacing w:line="620" w:lineRule="exact"/>
        <w:rPr>
          <w:bCs/>
          <w:szCs w:val="32"/>
        </w:rPr>
      </w:pPr>
      <w:r>
        <w:rPr>
          <w:bCs/>
          <w:szCs w:val="32"/>
        </w:rPr>
        <w:t xml:space="preserve">    </w:t>
      </w:r>
    </w:p>
    <w:p>
      <w:pPr>
        <w:spacing w:line="620" w:lineRule="exact"/>
        <w:rPr>
          <w:szCs w:val="32"/>
        </w:rPr>
      </w:pPr>
      <w:r>
        <w:rPr>
          <w:rFonts w:hint="eastAsia"/>
          <w:bCs/>
          <w:szCs w:val="32"/>
        </w:rPr>
        <w:t xml:space="preserve">    </w:t>
      </w:r>
      <w:r>
        <w:rPr>
          <w:bCs/>
          <w:szCs w:val="32"/>
        </w:rPr>
        <w:t>附件：</w:t>
      </w:r>
      <w:r>
        <w:rPr>
          <w:szCs w:val="32"/>
        </w:rPr>
        <w:t>1</w:t>
      </w:r>
      <w:r>
        <w:rPr>
          <w:rFonts w:hint="eastAsia"/>
          <w:szCs w:val="32"/>
        </w:rPr>
        <w:t>．</w:t>
      </w:r>
      <w:r>
        <w:rPr>
          <w:szCs w:val="32"/>
        </w:rPr>
        <w:t>“十四五”项目谋划指南</w:t>
      </w:r>
    </w:p>
    <w:p>
      <w:pPr>
        <w:pStyle w:val="2"/>
        <w:widowControl w:val="0"/>
        <w:spacing w:before="0" w:after="0" w:line="620" w:lineRule="exact"/>
        <w:ind w:left="0" w:leftChars="0" w:firstLine="0" w:firstLineChars="0"/>
        <w:jc w:val="both"/>
        <w:rPr>
          <w:rFonts w:ascii="Times New Roman" w:hAnsi="Times New Roman" w:eastAsia="仿宋_GB2312"/>
          <w:color w:val="auto"/>
          <w:sz w:val="32"/>
          <w:szCs w:val="32"/>
          <w:lang w:val="en-US" w:eastAsia="zh-CN"/>
        </w:rPr>
      </w:pPr>
      <w:r>
        <w:rPr>
          <w:rFonts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lang w:val="en-US" w:eastAsia="zh-CN"/>
        </w:rPr>
        <w:t xml:space="preserve">      </w:t>
      </w:r>
      <w:r>
        <w:rPr>
          <w:rFonts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lang w:val="en-US" w:eastAsia="zh-CN"/>
        </w:rPr>
        <w:t>．</w:t>
      </w:r>
      <w:r>
        <w:rPr>
          <w:rFonts w:ascii="Times New Roman" w:hAnsi="Times New Roman" w:eastAsia="仿宋_GB2312"/>
          <w:color w:val="auto"/>
          <w:sz w:val="32"/>
          <w:szCs w:val="32"/>
          <w:lang w:val="en-US" w:eastAsia="zh-CN"/>
        </w:rPr>
        <w:t>自治区发展改革委谋划项目对口处室联系方式一</w:t>
      </w:r>
    </w:p>
    <w:p>
      <w:pPr>
        <w:pStyle w:val="2"/>
        <w:widowControl w:val="0"/>
        <w:spacing w:before="0" w:after="0" w:line="620" w:lineRule="exact"/>
        <w:ind w:left="0" w:leftChars="0" w:firstLine="0" w:firstLineChars="0"/>
        <w:jc w:val="both"/>
        <w:rPr>
          <w:rFonts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xml:space="preserve">             </w:t>
      </w:r>
      <w:r>
        <w:rPr>
          <w:rFonts w:ascii="Times New Roman" w:hAnsi="Times New Roman" w:eastAsia="仿宋_GB2312"/>
          <w:color w:val="auto"/>
          <w:sz w:val="32"/>
          <w:szCs w:val="32"/>
          <w:lang w:val="en-US" w:eastAsia="zh-CN"/>
        </w:rPr>
        <w:t>览表</w:t>
      </w:r>
    </w:p>
    <w:p>
      <w:pPr>
        <w:spacing w:line="600" w:lineRule="exact"/>
        <w:rPr>
          <w:color w:val="000000"/>
          <w:szCs w:val="32"/>
        </w:rPr>
      </w:pPr>
    </w:p>
    <w:p>
      <w:pPr>
        <w:pStyle w:val="2"/>
        <w:widowControl w:val="0"/>
        <w:spacing w:before="0" w:after="0" w:line="600" w:lineRule="exact"/>
        <w:ind w:left="640" w:firstLine="640"/>
        <w:rPr>
          <w:rFonts w:ascii="Times New Roman" w:hAnsi="Times New Roman"/>
          <w:sz w:val="32"/>
          <w:szCs w:val="32"/>
          <w:lang w:val="en-US" w:eastAsia="zh-CN"/>
        </w:rPr>
      </w:pPr>
    </w:p>
    <w:p>
      <w:pPr>
        <w:pStyle w:val="2"/>
        <w:widowControl w:val="0"/>
        <w:spacing w:before="0" w:after="0" w:line="600" w:lineRule="exact"/>
        <w:ind w:left="0" w:leftChars="0" w:firstLine="0" w:firstLineChars="0"/>
        <w:jc w:val="both"/>
        <w:rPr>
          <w:rFonts w:ascii="Times New Roman" w:hAnsi="Times New Roman" w:eastAsia="仿宋_GB2312"/>
          <w:color w:val="auto"/>
          <w:sz w:val="32"/>
          <w:szCs w:val="32"/>
          <w:lang w:val="en-US" w:eastAsia="zh-CN"/>
        </w:rPr>
      </w:pPr>
      <w:r>
        <w:rPr>
          <w:rFonts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lang w:val="en-US" w:eastAsia="zh-CN"/>
        </w:rPr>
        <w:t xml:space="preserve">   </w:t>
      </w:r>
      <w:r>
        <w:rPr>
          <w:rFonts w:ascii="Times New Roman" w:hAnsi="Times New Roman" w:eastAsia="仿宋_GB2312"/>
          <w:color w:val="auto"/>
          <w:sz w:val="32"/>
          <w:szCs w:val="32"/>
          <w:lang w:val="en-US" w:eastAsia="zh-CN"/>
        </w:rPr>
        <w:t xml:space="preserve">   宁夏回族自治区发展改革委</w:t>
      </w:r>
    </w:p>
    <w:p>
      <w:pPr>
        <w:pStyle w:val="2"/>
        <w:widowControl w:val="0"/>
        <w:spacing w:before="0" w:after="0" w:line="600" w:lineRule="exact"/>
        <w:ind w:left="0" w:leftChars="0" w:firstLine="0" w:firstLineChars="0"/>
        <w:jc w:val="both"/>
        <w:rPr>
          <w:rFonts w:ascii="Times New Roman" w:hAnsi="Times New Roman" w:eastAsia="仿宋_GB2312"/>
          <w:color w:val="auto"/>
          <w:sz w:val="32"/>
          <w:szCs w:val="32"/>
          <w:lang w:val="en-US" w:eastAsia="zh-CN"/>
        </w:rPr>
      </w:pPr>
      <w:r>
        <w:rPr>
          <w:rFonts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lang w:val="en-US" w:eastAsia="zh-CN"/>
        </w:rPr>
        <w:t xml:space="preserve">   </w:t>
      </w:r>
      <w:r>
        <w:rPr>
          <w:rFonts w:ascii="Times New Roman" w:hAnsi="Times New Roman" w:eastAsia="仿宋_GB2312"/>
          <w:color w:val="auto"/>
          <w:sz w:val="32"/>
          <w:szCs w:val="32"/>
          <w:lang w:val="en-US" w:eastAsia="zh-CN"/>
        </w:rPr>
        <w:t xml:space="preserve"> 2020年2月</w:t>
      </w:r>
      <w:r>
        <w:rPr>
          <w:rFonts w:hint="eastAsia" w:ascii="Times New Roman" w:hAnsi="Times New Roman" w:eastAsia="仿宋_GB2312"/>
          <w:color w:val="auto"/>
          <w:sz w:val="32"/>
          <w:szCs w:val="32"/>
          <w:lang w:val="en-US" w:eastAsia="zh-CN"/>
        </w:rPr>
        <w:t>27</w:t>
      </w:r>
      <w:r>
        <w:rPr>
          <w:rFonts w:ascii="Times New Roman" w:hAnsi="Times New Roman" w:eastAsia="仿宋_GB2312"/>
          <w:color w:val="auto"/>
          <w:sz w:val="32"/>
          <w:szCs w:val="32"/>
          <w:lang w:val="en-US" w:eastAsia="zh-CN"/>
        </w:rPr>
        <w:t>日</w:t>
      </w:r>
    </w:p>
    <w:p>
      <w:pPr>
        <w:pStyle w:val="2"/>
        <w:widowControl w:val="0"/>
        <w:spacing w:before="0" w:after="0" w:line="600" w:lineRule="exact"/>
        <w:ind w:left="0" w:leftChars="0" w:firstLine="0" w:firstLineChars="0"/>
        <w:rPr>
          <w:rFonts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（此件公开发布）</w:t>
      </w:r>
    </w:p>
    <w:p>
      <w:pPr>
        <w:pStyle w:val="2"/>
        <w:widowControl w:val="0"/>
        <w:ind w:left="640" w:firstLine="640"/>
        <w:rPr>
          <w:rFonts w:ascii="Times New Roman" w:hAnsi="Times New Roman" w:eastAsia="仿宋_GB2312"/>
          <w:sz w:val="32"/>
          <w:szCs w:val="32"/>
          <w:lang w:val="en-US" w:eastAsia="zh-CN"/>
        </w:rPr>
      </w:pPr>
    </w:p>
    <w:p>
      <w:pPr>
        <w:pStyle w:val="2"/>
        <w:widowControl w:val="0"/>
        <w:ind w:left="640" w:firstLine="640"/>
        <w:rPr>
          <w:rFonts w:ascii="Times New Roman" w:hAnsi="Times New Roman" w:eastAsia="仿宋_GB2312"/>
          <w:sz w:val="32"/>
          <w:szCs w:val="32"/>
          <w:lang w:val="en-US" w:eastAsia="zh-CN"/>
        </w:rPr>
      </w:pPr>
    </w:p>
    <w:p>
      <w:pPr>
        <w:pStyle w:val="2"/>
        <w:widowControl w:val="0"/>
        <w:ind w:left="0" w:leftChars="0" w:firstLine="0" w:firstLineChars="0"/>
        <w:jc w:val="both"/>
        <w:rPr>
          <w:rFonts w:ascii="Times New Roman" w:hAnsi="Times New Roman" w:eastAsia="仿宋_GB2312"/>
          <w:sz w:val="32"/>
          <w:szCs w:val="32"/>
          <w:lang w:val="en-US" w:eastAsia="zh-CN"/>
        </w:rPr>
        <w:sectPr>
          <w:footerReference r:id="rId4" w:type="default"/>
          <w:headerReference r:id="rId3" w:type="even"/>
          <w:footerReference r:id="rId5" w:type="even"/>
          <w:pgSz w:w="11907" w:h="16840"/>
          <w:pgMar w:top="1418" w:right="1474" w:bottom="1418" w:left="1588" w:header="851" w:footer="1021" w:gutter="0"/>
          <w:cols w:space="720" w:num="1"/>
          <w:docGrid w:type="lines" w:linePitch="312" w:charSpace="0"/>
        </w:sectPr>
      </w:pPr>
    </w:p>
    <w:p>
      <w:pPr>
        <w:pStyle w:val="2"/>
        <w:widowControl w:val="0"/>
        <w:ind w:left="0" w:leftChars="0" w:firstLine="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2"/>
        <w:widowControl w:val="0"/>
        <w:ind w:left="640" w:firstLine="640"/>
        <w:rPr>
          <w:rFonts w:ascii="Times New Roman" w:hAnsi="Times New Roman" w:eastAsia="仿宋_GB2312"/>
          <w:sz w:val="32"/>
          <w:szCs w:val="32"/>
          <w:lang w:val="en-US" w:eastAsia="zh-CN"/>
        </w:rPr>
      </w:pPr>
    </w:p>
    <w:p>
      <w:pPr>
        <w:spacing w:line="600" w:lineRule="exact"/>
        <w:jc w:val="center"/>
        <w:rPr>
          <w:rFonts w:eastAsia="方正小标宋_GBK"/>
          <w:sz w:val="44"/>
          <w:szCs w:val="44"/>
        </w:rPr>
      </w:pPr>
    </w:p>
    <w:p>
      <w:pPr>
        <w:pStyle w:val="2"/>
        <w:widowControl w:val="0"/>
        <w:ind w:left="640" w:firstLine="440"/>
        <w:rPr>
          <w:rFonts w:ascii="Times New Roman" w:hAnsi="Times New Roman"/>
          <w:lang w:eastAsia="zh-CN"/>
        </w:rPr>
      </w:pPr>
    </w:p>
    <w:p>
      <w:pPr>
        <w:spacing w:line="600" w:lineRule="exact"/>
        <w:jc w:val="center"/>
        <w:rPr>
          <w:rFonts w:eastAsia="方正小标宋_GBK"/>
          <w:sz w:val="44"/>
          <w:szCs w:val="44"/>
        </w:rPr>
      </w:pPr>
    </w:p>
    <w:p>
      <w:pPr>
        <w:jc w:val="center"/>
        <w:rPr>
          <w:rFonts w:eastAsia="方正小标宋_GBK"/>
          <w:sz w:val="72"/>
          <w:szCs w:val="72"/>
        </w:rPr>
      </w:pPr>
      <w:r>
        <w:rPr>
          <w:rFonts w:eastAsia="方正小标宋_GBK"/>
          <w:sz w:val="72"/>
          <w:szCs w:val="72"/>
        </w:rPr>
        <w:t>“十四五”项目谋划指南</w:t>
      </w:r>
    </w:p>
    <w:p>
      <w:pPr>
        <w:pStyle w:val="2"/>
        <w:widowControl w:val="0"/>
        <w:ind w:left="640" w:firstLine="640"/>
        <w:rPr>
          <w:rFonts w:ascii="Times New Roman" w:hAnsi="Times New Roman" w:eastAsia="仿宋_GB2312"/>
          <w:sz w:val="32"/>
          <w:szCs w:val="32"/>
          <w:lang w:val="en-US" w:eastAsia="zh-CN"/>
        </w:rPr>
      </w:pPr>
    </w:p>
    <w:p>
      <w:pPr>
        <w:pStyle w:val="2"/>
        <w:widowControl w:val="0"/>
        <w:ind w:left="640" w:firstLine="640"/>
        <w:rPr>
          <w:rFonts w:ascii="Times New Roman" w:hAnsi="Times New Roman" w:eastAsia="仿宋_GB2312"/>
          <w:sz w:val="32"/>
          <w:szCs w:val="32"/>
          <w:lang w:val="en-US" w:eastAsia="zh-CN"/>
        </w:rPr>
      </w:pPr>
    </w:p>
    <w:p>
      <w:pPr>
        <w:pStyle w:val="2"/>
        <w:widowControl w:val="0"/>
        <w:ind w:left="640" w:firstLine="640"/>
        <w:rPr>
          <w:rFonts w:ascii="Times New Roman" w:hAnsi="Times New Roman" w:eastAsia="仿宋_GB2312"/>
          <w:sz w:val="32"/>
          <w:szCs w:val="32"/>
          <w:lang w:val="en-US" w:eastAsia="zh-CN"/>
        </w:rPr>
      </w:pPr>
    </w:p>
    <w:p>
      <w:pPr>
        <w:pStyle w:val="2"/>
        <w:widowControl w:val="0"/>
        <w:ind w:left="640" w:firstLine="640"/>
        <w:rPr>
          <w:rFonts w:ascii="Times New Roman" w:hAnsi="Times New Roman" w:eastAsia="仿宋_GB2312"/>
          <w:sz w:val="32"/>
          <w:szCs w:val="32"/>
          <w:lang w:val="en-US" w:eastAsia="zh-CN"/>
        </w:rPr>
      </w:pPr>
    </w:p>
    <w:p>
      <w:pPr>
        <w:pStyle w:val="2"/>
        <w:widowControl w:val="0"/>
        <w:ind w:left="640" w:firstLine="640"/>
        <w:rPr>
          <w:rFonts w:ascii="Times New Roman" w:hAnsi="Times New Roman" w:eastAsia="仿宋_GB2312"/>
          <w:sz w:val="32"/>
          <w:szCs w:val="32"/>
          <w:lang w:val="en-US" w:eastAsia="zh-CN"/>
        </w:rPr>
      </w:pPr>
    </w:p>
    <w:p>
      <w:pPr>
        <w:pStyle w:val="2"/>
        <w:widowControl w:val="0"/>
        <w:ind w:left="640" w:firstLine="640"/>
        <w:rPr>
          <w:rFonts w:ascii="Times New Roman" w:hAnsi="Times New Roman" w:eastAsia="仿宋_GB2312"/>
          <w:sz w:val="32"/>
          <w:szCs w:val="32"/>
          <w:lang w:val="en-US" w:eastAsia="zh-CN"/>
        </w:rPr>
      </w:pPr>
    </w:p>
    <w:p>
      <w:pPr>
        <w:pStyle w:val="2"/>
        <w:widowControl w:val="0"/>
        <w:ind w:left="640" w:firstLine="640"/>
        <w:rPr>
          <w:rFonts w:ascii="Times New Roman" w:hAnsi="Times New Roman" w:eastAsia="仿宋_GB2312"/>
          <w:sz w:val="32"/>
          <w:szCs w:val="32"/>
          <w:lang w:val="en-US" w:eastAsia="zh-CN"/>
        </w:rPr>
      </w:pPr>
    </w:p>
    <w:p>
      <w:pPr>
        <w:pStyle w:val="2"/>
        <w:widowControl w:val="0"/>
        <w:ind w:left="0" w:leftChars="0" w:firstLine="0" w:firstLineChars="0"/>
        <w:rPr>
          <w:rFonts w:ascii="Times New Roman" w:hAnsi="Times New Roman" w:eastAsia="仿宋_GB2312"/>
          <w:sz w:val="32"/>
          <w:szCs w:val="32"/>
          <w:lang w:val="en-US" w:eastAsia="zh-CN"/>
        </w:rPr>
      </w:pPr>
    </w:p>
    <w:p>
      <w:pPr>
        <w:pStyle w:val="2"/>
        <w:widowControl w:val="0"/>
        <w:spacing w:line="240" w:lineRule="auto"/>
        <w:ind w:left="640" w:firstLine="0" w:firstLineChars="0"/>
        <w:jc w:val="center"/>
        <w:rPr>
          <w:rFonts w:ascii="Times New Roman" w:hAnsi="Times New Roman" w:eastAsia="方正小标宋_GBK"/>
          <w:sz w:val="44"/>
          <w:szCs w:val="44"/>
          <w:lang w:val="en-US" w:eastAsia="zh-CN"/>
        </w:rPr>
      </w:pPr>
      <w:r>
        <w:rPr>
          <w:rFonts w:ascii="Times New Roman" w:hAnsi="Times New Roman" w:eastAsia="方正小标宋_GBK"/>
          <w:sz w:val="44"/>
          <w:szCs w:val="44"/>
          <w:lang w:val="en-US" w:eastAsia="zh-CN"/>
        </w:rPr>
        <w:t>自治区发展改革委制</w:t>
      </w:r>
    </w:p>
    <w:p>
      <w:pPr>
        <w:pStyle w:val="2"/>
        <w:widowControl w:val="0"/>
        <w:spacing w:line="240" w:lineRule="auto"/>
        <w:ind w:left="640" w:firstLine="0" w:firstLineChars="0"/>
        <w:jc w:val="center"/>
        <w:rPr>
          <w:rFonts w:ascii="Times New Roman" w:hAnsi="Times New Roman" w:eastAsia="方正小标宋_GBK"/>
          <w:sz w:val="44"/>
          <w:szCs w:val="44"/>
          <w:lang w:val="en-US" w:eastAsia="zh-CN"/>
        </w:rPr>
      </w:pPr>
      <w:r>
        <w:rPr>
          <w:rFonts w:ascii="Times New Roman" w:hAnsi="Times New Roman" w:eastAsia="方正小标宋_GBK"/>
          <w:sz w:val="44"/>
          <w:szCs w:val="44"/>
          <w:lang w:val="en-US" w:eastAsia="zh-CN"/>
        </w:rPr>
        <w:t>2020年2月</w:t>
      </w:r>
    </w:p>
    <w:p>
      <w:pPr>
        <w:pStyle w:val="2"/>
        <w:widowControl w:val="0"/>
        <w:spacing w:before="0" w:after="0" w:line="600" w:lineRule="exact"/>
        <w:ind w:left="0" w:leftChars="0" w:firstLine="0" w:firstLineChars="0"/>
        <w:jc w:val="center"/>
        <w:rPr>
          <w:rFonts w:ascii="Times New Roman" w:hAnsi="Times New Roman" w:eastAsia="方正小标宋_GBK"/>
          <w:sz w:val="44"/>
          <w:szCs w:val="44"/>
          <w:lang w:val="en-US" w:eastAsia="zh-CN"/>
        </w:rPr>
        <w:sectPr>
          <w:footerReference r:id="rId6" w:type="default"/>
          <w:pgSz w:w="11906" w:h="16838"/>
          <w:pgMar w:top="1417" w:right="1701" w:bottom="1417" w:left="1701" w:header="851" w:footer="992" w:gutter="0"/>
          <w:pgNumType w:start="6"/>
          <w:cols w:space="720" w:num="1"/>
          <w:docGrid w:type="lines" w:linePitch="312" w:charSpace="0"/>
        </w:sectPr>
      </w:pPr>
    </w:p>
    <w:p>
      <w:pPr>
        <w:pStyle w:val="2"/>
        <w:widowControl w:val="0"/>
        <w:spacing w:before="0" w:after="0" w:line="500" w:lineRule="exact"/>
        <w:ind w:left="0" w:leftChars="0" w:firstLine="0" w:firstLineChars="0"/>
        <w:jc w:val="center"/>
        <w:rPr>
          <w:rFonts w:ascii="Times New Roman" w:hAnsi="Times New Roman" w:eastAsia="方正小标宋_GBK"/>
          <w:sz w:val="32"/>
          <w:szCs w:val="32"/>
          <w:lang w:val="en-US" w:eastAsia="zh-CN"/>
        </w:rPr>
      </w:pPr>
    </w:p>
    <w:p>
      <w:pPr>
        <w:pStyle w:val="2"/>
        <w:widowControl w:val="0"/>
        <w:spacing w:before="0" w:after="0" w:line="500" w:lineRule="exact"/>
        <w:ind w:left="0" w:leftChars="0" w:firstLine="0" w:firstLineChars="0"/>
        <w:jc w:val="center"/>
        <w:rPr>
          <w:rFonts w:ascii="Times New Roman" w:hAnsi="Times New Roman" w:eastAsia="方正小标宋_GBK"/>
          <w:sz w:val="32"/>
          <w:szCs w:val="32"/>
          <w:lang w:val="en-US" w:eastAsia="zh-CN"/>
        </w:rPr>
      </w:pPr>
      <w:r>
        <w:rPr>
          <w:rFonts w:ascii="Times New Roman" w:hAnsi="Times New Roman" w:eastAsia="方正小标宋_GBK"/>
          <w:sz w:val="32"/>
          <w:szCs w:val="32"/>
          <w:lang w:val="en-US" w:eastAsia="zh-CN"/>
        </w:rPr>
        <w:t>目    录</w:t>
      </w:r>
    </w:p>
    <w:p>
      <w:pPr>
        <w:pStyle w:val="2"/>
        <w:widowControl w:val="0"/>
        <w:spacing w:before="0" w:after="0" w:line="400" w:lineRule="exact"/>
        <w:ind w:left="0" w:leftChars="0" w:firstLine="0" w:firstLineChars="0"/>
        <w:jc w:val="center"/>
        <w:rPr>
          <w:rFonts w:ascii="Times New Roman" w:hAnsi="Times New Roman" w:eastAsia="方正小标宋_GBK"/>
          <w:sz w:val="28"/>
          <w:szCs w:val="28"/>
          <w:lang w:val="en-US" w:eastAsia="zh-CN"/>
        </w:rPr>
      </w:pPr>
    </w:p>
    <w:p>
      <w:pPr>
        <w:pStyle w:val="11"/>
        <w:tabs>
          <w:tab w:val="right" w:leader="dot" w:pos="8504"/>
        </w:tabs>
        <w:spacing w:line="240" w:lineRule="exact"/>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TOC \o "1-3" \h \u </w:instrText>
      </w:r>
      <w:r>
        <w:rPr>
          <w:rFonts w:ascii="Times New Roman" w:hAnsi="Times New Roman" w:eastAsia="方正小标宋_GBK"/>
          <w:color w:val="000000"/>
          <w:sz w:val="18"/>
          <w:szCs w:val="18"/>
        </w:rPr>
        <w:fldChar w:fldCharType="separate"/>
      </w: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_Toc8610 </w:instrText>
      </w:r>
      <w:r>
        <w:rPr>
          <w:rFonts w:ascii="Times New Roman" w:hAnsi="Times New Roman" w:eastAsia="方正小标宋_GBK"/>
          <w:color w:val="000000"/>
          <w:sz w:val="18"/>
          <w:szCs w:val="18"/>
        </w:rPr>
        <w:fldChar w:fldCharType="separate"/>
      </w:r>
      <w:r>
        <w:rPr>
          <w:rFonts w:ascii="Times New Roman" w:hAnsi="Times New Roman" w:eastAsia="方正小标宋_GBK"/>
          <w:color w:val="000000"/>
          <w:sz w:val="18"/>
          <w:szCs w:val="18"/>
        </w:rPr>
        <w:t>第一部分  农业产业化</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_Toc8610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_Toc28001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一、标准化规模化种养基地</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_Toc28001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_Toc16636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二、农村产业融合发展示范园</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_Toc16636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_Toc18455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三、农产品加工能力改造提升工程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_Toc18455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_Toc31156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四、农产品全程可追溯体系建设</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_Toc31156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_Toc27140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五、宁夏特色优质农产品品牌建设</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_Toc27140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_Toc15309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六、智慧农业建设</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_Toc15309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1"/>
        <w:tabs>
          <w:tab w:val="right" w:leader="dot" w:pos="8504"/>
        </w:tabs>
        <w:spacing w:line="240" w:lineRule="exact"/>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_Toc1968 </w:instrText>
      </w:r>
      <w:r>
        <w:rPr>
          <w:rFonts w:ascii="Times New Roman" w:hAnsi="Times New Roman" w:eastAsia="方正小标宋_GBK"/>
          <w:color w:val="000000"/>
          <w:sz w:val="18"/>
          <w:szCs w:val="18"/>
        </w:rPr>
        <w:fldChar w:fldCharType="separate"/>
      </w:r>
      <w:r>
        <w:rPr>
          <w:rFonts w:ascii="Times New Roman" w:hAnsi="Times New Roman"/>
          <w:color w:val="000000"/>
          <w:sz w:val="18"/>
          <w:szCs w:val="18"/>
          <w:lang w:val="en-GB" w:eastAsia="en-US"/>
        </w:rPr>
        <w:t>第</w:t>
      </w:r>
      <w:r>
        <w:rPr>
          <w:rFonts w:ascii="Times New Roman" w:hAnsi="Times New Roman" w:eastAsia="方正小标宋_GBK"/>
          <w:color w:val="000000"/>
          <w:sz w:val="18"/>
          <w:szCs w:val="18"/>
        </w:rPr>
        <w:t>二部分 工业转型升级</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_Toc1968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_Toc9217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lang w:val="en-GB"/>
        </w:rPr>
        <w:t>一、煤矿安全改造</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_Toc9217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_Toc17427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（一）瓦斯抽采利用系统改造</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_Toc17427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_Toc26106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（二）通风系统改造</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_Toc26106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_Toc5728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（三）重大安全隐患治理</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_Toc5728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_Toc11662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（四）煤矿智能装备推广应用</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_Toc11662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_Toc28374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（五）煤炭储备能力建设</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_Toc28374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_Toc22199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二、制造业</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_Toc22199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_Toc7000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（一）关键技术产业化</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_Toc7000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_Toc6742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1.轨道交通装备关键技术产业化</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_Toc6742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_Toc12711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2.智能汽车关键技术产业化</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_Toc12711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_Toc32261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3.新材料关键技术产业化</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_Toc32261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_Toc13414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（二）先进</w:t>
      </w:r>
      <w:r>
        <w:rPr>
          <w:rFonts w:ascii="Times New Roman" w:hAnsi="Times New Roman" w:eastAsia="楷体"/>
          <w:color w:val="000000"/>
          <w:sz w:val="18"/>
          <w:szCs w:val="18"/>
          <w:lang w:val="en-GB"/>
        </w:rPr>
        <w:t>装备制造</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_Toc13414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_Toc1924 </w:instrText>
      </w:r>
      <w:r>
        <w:rPr>
          <w:rFonts w:ascii="Times New Roman" w:hAnsi="Times New Roman" w:eastAsia="方正小标宋_GBK"/>
          <w:color w:val="000000"/>
          <w:sz w:val="18"/>
          <w:szCs w:val="18"/>
        </w:rPr>
        <w:fldChar w:fldCharType="separate"/>
      </w:r>
      <w:r>
        <w:rPr>
          <w:rFonts w:ascii="Times New Roman" w:hAnsi="Times New Roman" w:eastAsia="仿宋_GB2312"/>
          <w:bCs/>
          <w:color w:val="000000"/>
          <w:sz w:val="18"/>
          <w:szCs w:val="18"/>
        </w:rPr>
        <w:t>1.</w:t>
      </w:r>
      <w:r>
        <w:rPr>
          <w:rFonts w:ascii="Times New Roman" w:hAnsi="Times New Roman" w:eastAsia="仿宋_GB2312"/>
          <w:bCs/>
          <w:color w:val="000000"/>
          <w:sz w:val="18"/>
          <w:szCs w:val="18"/>
          <w:lang w:val="en-GB" w:eastAsia="en-US"/>
        </w:rPr>
        <w:t>高档数控机床和工业机器人</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_Toc1924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_Toc4439 </w:instrText>
      </w:r>
      <w:r>
        <w:rPr>
          <w:rFonts w:ascii="Times New Roman" w:hAnsi="Times New Roman" w:eastAsia="方正小标宋_GBK"/>
          <w:color w:val="000000"/>
          <w:sz w:val="18"/>
          <w:szCs w:val="18"/>
        </w:rPr>
        <w:fldChar w:fldCharType="separate"/>
      </w:r>
      <w:r>
        <w:rPr>
          <w:rFonts w:ascii="Times New Roman" w:hAnsi="Times New Roman" w:eastAsia="仿宋_GB2312"/>
          <w:bCs/>
          <w:color w:val="000000"/>
          <w:sz w:val="18"/>
          <w:szCs w:val="18"/>
        </w:rPr>
        <w:t>2.</w:t>
      </w:r>
      <w:r>
        <w:rPr>
          <w:rFonts w:ascii="Times New Roman" w:hAnsi="Times New Roman" w:eastAsia="仿宋_GB2312"/>
          <w:bCs/>
          <w:color w:val="000000"/>
          <w:sz w:val="18"/>
          <w:szCs w:val="18"/>
          <w:lang w:val="en-GB" w:eastAsia="en-US"/>
        </w:rPr>
        <w:t>自动化仪器仪表</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_Toc4439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0" w:leftChars="0"/>
        <w:rPr>
          <w:rFonts w:ascii="Times New Roman" w:hAnsi="Times New Roman"/>
          <w:color w:val="000000"/>
          <w:sz w:val="18"/>
          <w:szCs w:val="18"/>
          <w:lang w:val="en-GB" w:eastAsia="en-US"/>
        </w:rPr>
      </w:pPr>
      <w:r>
        <w:rPr>
          <w:rFonts w:hint="eastAsia" w:ascii="Times New Roman" w:hAnsi="Times New Roman" w:eastAsia="方正小标宋_GBK"/>
          <w:color w:val="000000"/>
          <w:sz w:val="18"/>
          <w:szCs w:val="18"/>
        </w:rPr>
        <w:t xml:space="preserve">              </w:t>
      </w: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_Toc30854 </w:instrText>
      </w:r>
      <w:r>
        <w:rPr>
          <w:rFonts w:ascii="Times New Roman" w:hAnsi="Times New Roman" w:eastAsia="方正小标宋_GBK"/>
          <w:color w:val="000000"/>
          <w:sz w:val="18"/>
          <w:szCs w:val="18"/>
        </w:rPr>
        <w:fldChar w:fldCharType="separate"/>
      </w:r>
      <w:r>
        <w:rPr>
          <w:rFonts w:ascii="Times New Roman" w:hAnsi="Times New Roman" w:eastAsia="仿宋_GB2312"/>
          <w:color w:val="000000"/>
          <w:sz w:val="18"/>
          <w:szCs w:val="18"/>
        </w:rPr>
        <w:t>3.</w:t>
      </w:r>
      <w:r>
        <w:rPr>
          <w:rFonts w:ascii="Times New Roman" w:hAnsi="Times New Roman" w:eastAsia="仿宋_GB2312"/>
          <w:color w:val="000000"/>
          <w:sz w:val="18"/>
          <w:szCs w:val="18"/>
          <w:lang w:val="en-GB" w:eastAsia="en-US"/>
        </w:rPr>
        <w:t>电工电气</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_Toc30854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0" w:leftChars="0"/>
        <w:rPr>
          <w:rFonts w:ascii="Times New Roman" w:hAnsi="Times New Roman"/>
          <w:color w:val="000000"/>
          <w:sz w:val="18"/>
          <w:szCs w:val="18"/>
          <w:lang w:val="en-GB" w:eastAsia="en-US"/>
        </w:rPr>
      </w:pPr>
      <w:r>
        <w:rPr>
          <w:rFonts w:hint="eastAsia" w:ascii="Times New Roman" w:hAnsi="Times New Roman" w:eastAsia="方正小标宋_GBK"/>
          <w:color w:val="000000"/>
          <w:sz w:val="18"/>
          <w:szCs w:val="18"/>
        </w:rPr>
        <w:t xml:space="preserve">              </w:t>
      </w: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_Toc19060 </w:instrText>
      </w:r>
      <w:r>
        <w:rPr>
          <w:rFonts w:ascii="Times New Roman" w:hAnsi="Times New Roman" w:eastAsia="方正小标宋_GBK"/>
          <w:color w:val="000000"/>
          <w:sz w:val="18"/>
          <w:szCs w:val="18"/>
        </w:rPr>
        <w:fldChar w:fldCharType="separate"/>
      </w:r>
      <w:r>
        <w:rPr>
          <w:rFonts w:ascii="Times New Roman" w:hAnsi="Times New Roman" w:eastAsia="仿宋_GB2312"/>
          <w:color w:val="000000"/>
          <w:sz w:val="18"/>
          <w:szCs w:val="18"/>
        </w:rPr>
        <w:t>4.</w:t>
      </w:r>
      <w:r>
        <w:rPr>
          <w:rFonts w:ascii="Times New Roman" w:hAnsi="Times New Roman" w:eastAsia="仿宋_GB2312"/>
          <w:color w:val="000000"/>
          <w:sz w:val="18"/>
          <w:szCs w:val="18"/>
          <w:lang w:val="en-GB" w:eastAsia="en-US"/>
        </w:rPr>
        <w:t>机械基础件</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_Toc19060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0" w:leftChars="0"/>
        <w:rPr>
          <w:rFonts w:ascii="Times New Roman" w:hAnsi="Times New Roman"/>
          <w:color w:val="000000"/>
          <w:sz w:val="18"/>
          <w:szCs w:val="18"/>
          <w:lang w:val="en-GB" w:eastAsia="en-US"/>
        </w:rPr>
      </w:pPr>
      <w:r>
        <w:rPr>
          <w:rFonts w:hint="eastAsia" w:ascii="Times New Roman" w:hAnsi="Times New Roman" w:eastAsia="方正小标宋_GBK"/>
          <w:color w:val="000000"/>
          <w:sz w:val="18"/>
          <w:szCs w:val="18"/>
        </w:rPr>
        <w:t xml:space="preserve">              </w:t>
      </w: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_Toc15846 </w:instrText>
      </w:r>
      <w:r>
        <w:rPr>
          <w:rFonts w:ascii="Times New Roman" w:hAnsi="Times New Roman" w:eastAsia="方正小标宋_GBK"/>
          <w:color w:val="000000"/>
          <w:sz w:val="18"/>
          <w:szCs w:val="18"/>
        </w:rPr>
        <w:fldChar w:fldCharType="separate"/>
      </w:r>
      <w:r>
        <w:rPr>
          <w:rFonts w:ascii="Times New Roman" w:hAnsi="Times New Roman" w:eastAsia="仿宋_GB2312"/>
          <w:color w:val="000000"/>
          <w:sz w:val="18"/>
          <w:szCs w:val="18"/>
        </w:rPr>
        <w:t>5.</w:t>
      </w:r>
      <w:r>
        <w:rPr>
          <w:rFonts w:ascii="Times New Roman" w:hAnsi="Times New Roman" w:eastAsia="仿宋_GB2312"/>
          <w:color w:val="000000"/>
          <w:sz w:val="18"/>
          <w:szCs w:val="18"/>
          <w:lang w:val="en-GB" w:eastAsia="en-US"/>
        </w:rPr>
        <w:t>高端铸件</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_Toc15846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hint="eastAsia" w:ascii="Times New Roman" w:hAnsi="Times New Roman" w:eastAsia="方正小标宋_GBK"/>
          <w:color w:val="000000"/>
          <w:sz w:val="18"/>
          <w:szCs w:val="18"/>
        </w:rPr>
        <w:t xml:space="preserve">       </w:t>
      </w: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_Toc26829 </w:instrText>
      </w:r>
      <w:r>
        <w:rPr>
          <w:rFonts w:ascii="Times New Roman" w:hAnsi="Times New Roman" w:eastAsia="方正小标宋_GBK"/>
          <w:color w:val="000000"/>
          <w:sz w:val="18"/>
          <w:szCs w:val="18"/>
        </w:rPr>
        <w:fldChar w:fldCharType="separate"/>
      </w:r>
      <w:r>
        <w:rPr>
          <w:rFonts w:ascii="Times New Roman" w:hAnsi="Times New Roman" w:eastAsia="仿宋_GB2312"/>
          <w:color w:val="000000"/>
          <w:sz w:val="18"/>
          <w:szCs w:val="18"/>
        </w:rPr>
        <w:t>6.</w:t>
      </w:r>
      <w:r>
        <w:rPr>
          <w:rFonts w:ascii="Times New Roman" w:hAnsi="Times New Roman" w:eastAsia="仿宋_GB2312"/>
          <w:color w:val="000000"/>
          <w:sz w:val="18"/>
          <w:szCs w:val="18"/>
          <w:lang w:val="en-GB" w:eastAsia="en-US"/>
        </w:rPr>
        <w:t>煤矿机械</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_Toc26829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hint="eastAsia" w:ascii="Times New Roman" w:hAnsi="Times New Roman" w:eastAsia="方正小标宋_GBK"/>
          <w:color w:val="000000"/>
          <w:sz w:val="18"/>
          <w:szCs w:val="18"/>
        </w:rPr>
        <w:t xml:space="preserve">       </w:t>
      </w: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_Toc21904 </w:instrText>
      </w:r>
      <w:r>
        <w:rPr>
          <w:rFonts w:ascii="Times New Roman" w:hAnsi="Times New Roman" w:eastAsia="方正小标宋_GBK"/>
          <w:color w:val="000000"/>
          <w:sz w:val="18"/>
          <w:szCs w:val="18"/>
        </w:rPr>
        <w:fldChar w:fldCharType="separate"/>
      </w:r>
      <w:r>
        <w:rPr>
          <w:rFonts w:ascii="Times New Roman" w:hAnsi="Times New Roman" w:eastAsia="仿宋_GB2312"/>
          <w:color w:val="000000"/>
          <w:sz w:val="18"/>
          <w:szCs w:val="18"/>
        </w:rPr>
        <w:t>7.</w:t>
      </w:r>
      <w:r>
        <w:rPr>
          <w:rFonts w:ascii="Times New Roman" w:hAnsi="Times New Roman" w:eastAsia="仿宋_GB2312"/>
          <w:color w:val="000000"/>
          <w:sz w:val="18"/>
          <w:szCs w:val="18"/>
          <w:lang w:val="en-GB" w:eastAsia="en-US"/>
        </w:rPr>
        <w:t>新能源装备</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_Toc21904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hint="eastAsia" w:ascii="Times New Roman" w:hAnsi="Times New Roman" w:eastAsia="方正小标宋_GBK"/>
          <w:color w:val="000000"/>
          <w:sz w:val="18"/>
          <w:szCs w:val="18"/>
        </w:rPr>
        <w:t xml:space="preserve">       </w:t>
      </w: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_Toc3922 </w:instrText>
      </w:r>
      <w:r>
        <w:rPr>
          <w:rFonts w:ascii="Times New Roman" w:hAnsi="Times New Roman" w:eastAsia="方正小标宋_GBK"/>
          <w:color w:val="000000"/>
          <w:sz w:val="18"/>
          <w:szCs w:val="18"/>
        </w:rPr>
        <w:fldChar w:fldCharType="separate"/>
      </w:r>
      <w:r>
        <w:rPr>
          <w:rFonts w:ascii="Times New Roman" w:hAnsi="Times New Roman" w:eastAsia="仿宋_GB2312"/>
          <w:color w:val="000000"/>
          <w:sz w:val="18"/>
          <w:szCs w:val="18"/>
        </w:rPr>
        <w:t>8.</w:t>
      </w:r>
      <w:r>
        <w:rPr>
          <w:rFonts w:ascii="Times New Roman" w:hAnsi="Times New Roman" w:eastAsia="仿宋_GB2312"/>
          <w:color w:val="000000"/>
          <w:sz w:val="18"/>
          <w:szCs w:val="18"/>
          <w:lang w:val="en-GB" w:eastAsia="en-US"/>
        </w:rPr>
        <w:t>农业机械</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_Toc3922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hint="eastAsia" w:ascii="Times New Roman" w:hAnsi="Times New Roman" w:eastAsia="方正小标宋_GBK"/>
          <w:color w:val="000000"/>
          <w:sz w:val="18"/>
          <w:szCs w:val="18"/>
        </w:rPr>
        <w:t xml:space="preserve">       </w:t>
      </w: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_Toc18591 </w:instrText>
      </w:r>
      <w:r>
        <w:rPr>
          <w:rFonts w:ascii="Times New Roman" w:hAnsi="Times New Roman" w:eastAsia="方正小标宋_GBK"/>
          <w:color w:val="000000"/>
          <w:sz w:val="18"/>
          <w:szCs w:val="18"/>
        </w:rPr>
        <w:fldChar w:fldCharType="separate"/>
      </w:r>
      <w:r>
        <w:rPr>
          <w:rFonts w:ascii="Times New Roman" w:hAnsi="Times New Roman" w:eastAsia="仿宋_GB2312"/>
          <w:color w:val="000000"/>
          <w:sz w:val="18"/>
          <w:szCs w:val="18"/>
        </w:rPr>
        <w:t>9.</w:t>
      </w:r>
      <w:r>
        <w:rPr>
          <w:rFonts w:ascii="Times New Roman" w:hAnsi="Times New Roman" w:eastAsia="仿宋_GB2312"/>
          <w:color w:val="000000"/>
          <w:sz w:val="18"/>
          <w:szCs w:val="18"/>
          <w:lang w:val="en-GB" w:eastAsia="en-US"/>
        </w:rPr>
        <w:t>精细化工装备</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_Toc18591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_Toc29936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（三）传统行业提质升级</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_Toc29936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_Toc896 </w:instrText>
      </w:r>
      <w:r>
        <w:rPr>
          <w:rFonts w:ascii="Times New Roman" w:hAnsi="Times New Roman" w:eastAsia="方正小标宋_GBK"/>
          <w:color w:val="000000"/>
          <w:sz w:val="18"/>
          <w:szCs w:val="18"/>
        </w:rPr>
        <w:fldChar w:fldCharType="separate"/>
      </w:r>
      <w:r>
        <w:rPr>
          <w:rFonts w:ascii="Times New Roman" w:hAnsi="Times New Roman" w:eastAsia="仿宋_GB2312"/>
          <w:bCs/>
          <w:color w:val="000000"/>
          <w:sz w:val="18"/>
          <w:szCs w:val="18"/>
        </w:rPr>
        <w:t>1.</w:t>
      </w:r>
      <w:r>
        <w:rPr>
          <w:rFonts w:ascii="Times New Roman" w:hAnsi="Times New Roman" w:eastAsia="仿宋_GB2312"/>
          <w:bCs/>
          <w:color w:val="000000"/>
          <w:sz w:val="18"/>
          <w:szCs w:val="18"/>
          <w:lang w:val="en-GB"/>
        </w:rPr>
        <w:t>关键食品药品保障能力提升</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_Toc896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_Toc2229 </w:instrText>
      </w:r>
      <w:r>
        <w:rPr>
          <w:rFonts w:ascii="Times New Roman" w:hAnsi="Times New Roman" w:eastAsia="方正小标宋_GBK"/>
          <w:color w:val="000000"/>
          <w:sz w:val="18"/>
          <w:szCs w:val="18"/>
        </w:rPr>
        <w:fldChar w:fldCharType="separate"/>
      </w:r>
      <w:r>
        <w:rPr>
          <w:rFonts w:ascii="Times New Roman" w:hAnsi="Times New Roman" w:eastAsia="仿宋_GB2312"/>
          <w:bCs/>
          <w:color w:val="000000"/>
          <w:sz w:val="18"/>
          <w:szCs w:val="18"/>
        </w:rPr>
        <w:t>2.化工企业改造提升</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_Toc2229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_Toc25628 </w:instrText>
      </w:r>
      <w:r>
        <w:rPr>
          <w:rFonts w:ascii="Times New Roman" w:hAnsi="Times New Roman" w:eastAsia="方正小标宋_GBK"/>
          <w:color w:val="000000"/>
          <w:sz w:val="18"/>
          <w:szCs w:val="18"/>
        </w:rPr>
        <w:fldChar w:fldCharType="separate"/>
      </w:r>
      <w:r>
        <w:rPr>
          <w:rFonts w:ascii="Times New Roman" w:hAnsi="Times New Roman" w:eastAsia="仿宋_GB2312"/>
          <w:bCs/>
          <w:color w:val="000000"/>
          <w:sz w:val="18"/>
          <w:szCs w:val="18"/>
        </w:rPr>
        <w:t>3.冶金建材产业先进工艺技术改造</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_Toc25628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_Toc22472 </w:instrText>
      </w:r>
      <w:r>
        <w:rPr>
          <w:rFonts w:ascii="Times New Roman" w:hAnsi="Times New Roman" w:eastAsia="方正小标宋_GBK"/>
          <w:color w:val="000000"/>
          <w:sz w:val="18"/>
          <w:szCs w:val="18"/>
        </w:rPr>
        <w:fldChar w:fldCharType="separate"/>
      </w:r>
      <w:r>
        <w:rPr>
          <w:rFonts w:ascii="Times New Roman" w:hAnsi="Times New Roman" w:eastAsia="仿宋_GB2312"/>
          <w:bCs/>
          <w:color w:val="000000"/>
          <w:sz w:val="18"/>
          <w:szCs w:val="18"/>
        </w:rPr>
        <w:t>4.轻工纺织产品品质提升</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_Toc22472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_Toc22097 </w:instrText>
      </w:r>
      <w:r>
        <w:rPr>
          <w:rFonts w:ascii="Times New Roman" w:hAnsi="Times New Roman" w:eastAsia="方正小标宋_GBK"/>
          <w:color w:val="000000"/>
          <w:sz w:val="18"/>
          <w:szCs w:val="18"/>
        </w:rPr>
        <w:fldChar w:fldCharType="separate"/>
      </w:r>
      <w:r>
        <w:rPr>
          <w:rFonts w:ascii="Times New Roman" w:hAnsi="Times New Roman" w:eastAsia="仿宋_GB2312"/>
          <w:bCs/>
          <w:color w:val="000000"/>
          <w:sz w:val="18"/>
          <w:szCs w:val="18"/>
        </w:rPr>
        <w:t>5.</w:t>
      </w:r>
      <w:r>
        <w:rPr>
          <w:rFonts w:ascii="Times New Roman" w:hAnsi="Times New Roman" w:eastAsia="仿宋_GB2312"/>
          <w:bCs/>
          <w:color w:val="000000"/>
          <w:sz w:val="18"/>
          <w:szCs w:val="18"/>
          <w:lang w:val="en-GB"/>
        </w:rPr>
        <w:t>重点消费品回收能力建设</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_Toc22097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_Toc19583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（四）智能化工厂建设</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_Toc19583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_Toc22857 </w:instrText>
      </w:r>
      <w:r>
        <w:rPr>
          <w:rFonts w:ascii="Times New Roman" w:hAnsi="Times New Roman" w:eastAsia="方正小标宋_GBK"/>
          <w:color w:val="000000"/>
          <w:sz w:val="18"/>
          <w:szCs w:val="18"/>
        </w:rPr>
        <w:fldChar w:fldCharType="separate"/>
      </w:r>
      <w:r>
        <w:rPr>
          <w:rFonts w:ascii="Times New Roman" w:hAnsi="Times New Roman" w:eastAsia="楷体"/>
          <w:sz w:val="18"/>
          <w:szCs w:val="18"/>
        </w:rPr>
        <w:t>（五）资源节约循环利用</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_Toc22857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_Toc22239 </w:instrText>
      </w:r>
      <w:r>
        <w:rPr>
          <w:rFonts w:ascii="Times New Roman" w:hAnsi="Times New Roman" w:eastAsia="方正小标宋_GBK"/>
          <w:color w:val="000000"/>
          <w:sz w:val="18"/>
          <w:szCs w:val="18"/>
        </w:rPr>
        <w:fldChar w:fldCharType="separate"/>
      </w:r>
      <w:r>
        <w:rPr>
          <w:rFonts w:ascii="Times New Roman" w:hAnsi="Times New Roman" w:eastAsia="仿宋_GB2312"/>
          <w:bCs/>
          <w:kern w:val="0"/>
          <w:sz w:val="18"/>
          <w:szCs w:val="18"/>
        </w:rPr>
        <w:t>1.重点节能工程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_Toc22239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_Toc23661 </w:instrText>
      </w:r>
      <w:r>
        <w:rPr>
          <w:rFonts w:ascii="Times New Roman" w:hAnsi="Times New Roman" w:eastAsia="方正小标宋_GBK"/>
          <w:color w:val="000000"/>
          <w:sz w:val="18"/>
          <w:szCs w:val="18"/>
        </w:rPr>
        <w:fldChar w:fldCharType="separate"/>
      </w:r>
      <w:r>
        <w:rPr>
          <w:rFonts w:ascii="Times New Roman" w:hAnsi="Times New Roman" w:eastAsia="仿宋_GB2312"/>
          <w:bCs/>
          <w:kern w:val="0"/>
          <w:sz w:val="18"/>
          <w:szCs w:val="18"/>
        </w:rPr>
        <w:t>2.循环经济</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_Toc23661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_Toc21056 </w:instrText>
      </w:r>
      <w:r>
        <w:rPr>
          <w:rFonts w:ascii="Times New Roman" w:hAnsi="Times New Roman" w:eastAsia="方正小标宋_GBK"/>
          <w:color w:val="000000"/>
          <w:sz w:val="18"/>
          <w:szCs w:val="18"/>
        </w:rPr>
        <w:fldChar w:fldCharType="separate"/>
      </w:r>
      <w:r>
        <w:rPr>
          <w:rFonts w:ascii="Times New Roman" w:hAnsi="Times New Roman" w:eastAsia="仿宋_GB2312"/>
          <w:bCs/>
          <w:kern w:val="0"/>
          <w:sz w:val="18"/>
          <w:szCs w:val="18"/>
        </w:rPr>
        <w:t>3.资源综合利用</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_Toc21056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_Toc6404 </w:instrText>
      </w:r>
      <w:r>
        <w:rPr>
          <w:rFonts w:ascii="Times New Roman" w:hAnsi="Times New Roman" w:eastAsia="方正小标宋_GBK"/>
          <w:color w:val="000000"/>
          <w:sz w:val="18"/>
          <w:szCs w:val="18"/>
        </w:rPr>
        <w:fldChar w:fldCharType="separate"/>
      </w:r>
      <w:r>
        <w:rPr>
          <w:rFonts w:ascii="Times New Roman" w:hAnsi="Times New Roman" w:eastAsia="仿宋_GB2312"/>
          <w:bCs/>
          <w:kern w:val="0"/>
          <w:sz w:val="18"/>
          <w:szCs w:val="18"/>
        </w:rPr>
        <w:t>4.重点行业节水改造工程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_Toc6404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_Toc22766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三、电力及新能源</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_Toc22766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_Toc30146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lang w:val="en-GB"/>
        </w:rPr>
        <w:t>（一）</w:t>
      </w:r>
      <w:r>
        <w:rPr>
          <w:rFonts w:ascii="Times New Roman" w:hAnsi="Times New Roman" w:eastAsia="楷体"/>
          <w:color w:val="000000"/>
          <w:sz w:val="18"/>
          <w:szCs w:val="18"/>
          <w:lang w:val="en-GB" w:eastAsia="en-US"/>
        </w:rPr>
        <w:t>电源项目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_Toc30146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_Toc32253 </w:instrText>
      </w:r>
      <w:r>
        <w:rPr>
          <w:rFonts w:ascii="Times New Roman" w:hAnsi="Times New Roman" w:eastAsia="方正小标宋_GBK"/>
          <w:color w:val="000000"/>
          <w:sz w:val="18"/>
          <w:szCs w:val="18"/>
        </w:rPr>
        <w:fldChar w:fldCharType="separate"/>
      </w:r>
      <w:r>
        <w:rPr>
          <w:rFonts w:ascii="Times New Roman" w:hAnsi="Times New Roman" w:eastAsia="仿宋_GB2312"/>
          <w:color w:val="000000"/>
          <w:sz w:val="18"/>
          <w:szCs w:val="18"/>
        </w:rPr>
        <w:t>1.</w:t>
      </w:r>
      <w:r>
        <w:rPr>
          <w:rFonts w:ascii="Times New Roman" w:hAnsi="Times New Roman" w:eastAsia="仿宋_GB2312"/>
          <w:color w:val="000000"/>
          <w:sz w:val="18"/>
          <w:szCs w:val="18"/>
          <w:lang w:val="en-GB" w:eastAsia="en-US"/>
        </w:rPr>
        <w:t>新能源</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_Toc32253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_Toc11218 </w:instrText>
      </w:r>
      <w:r>
        <w:rPr>
          <w:rFonts w:ascii="Times New Roman" w:hAnsi="Times New Roman" w:eastAsia="方正小标宋_GBK"/>
          <w:color w:val="000000"/>
          <w:sz w:val="18"/>
          <w:szCs w:val="18"/>
        </w:rPr>
        <w:fldChar w:fldCharType="separate"/>
      </w:r>
      <w:r>
        <w:rPr>
          <w:rFonts w:ascii="Times New Roman" w:hAnsi="Times New Roman" w:eastAsia="仿宋_GB2312"/>
          <w:color w:val="000000"/>
          <w:sz w:val="18"/>
          <w:szCs w:val="18"/>
        </w:rPr>
        <w:t>2.</w:t>
      </w:r>
      <w:r>
        <w:rPr>
          <w:rFonts w:ascii="Times New Roman" w:hAnsi="Times New Roman" w:eastAsia="仿宋_GB2312"/>
          <w:color w:val="000000"/>
          <w:sz w:val="18"/>
          <w:szCs w:val="18"/>
          <w:lang w:val="en-GB" w:eastAsia="en-US"/>
        </w:rPr>
        <w:t>火电</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_Toc11218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_Toc26293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lang w:val="en-GB"/>
        </w:rPr>
        <w:t>（二）</w:t>
      </w:r>
      <w:r>
        <w:rPr>
          <w:rFonts w:ascii="Times New Roman" w:hAnsi="Times New Roman" w:eastAsia="楷体"/>
          <w:color w:val="000000"/>
          <w:sz w:val="18"/>
          <w:szCs w:val="18"/>
          <w:lang w:val="en-GB" w:eastAsia="en-US"/>
        </w:rPr>
        <w:t>电网设施建设</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_Toc26293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_Toc24857 </w:instrText>
      </w:r>
      <w:r>
        <w:rPr>
          <w:rFonts w:ascii="Times New Roman" w:hAnsi="Times New Roman" w:eastAsia="方正小标宋_GBK"/>
          <w:color w:val="000000"/>
          <w:sz w:val="18"/>
          <w:szCs w:val="18"/>
        </w:rPr>
        <w:fldChar w:fldCharType="separate"/>
      </w:r>
      <w:r>
        <w:rPr>
          <w:rFonts w:ascii="Times New Roman" w:hAnsi="Times New Roman" w:eastAsia="仿宋_GB2312"/>
          <w:color w:val="000000"/>
          <w:sz w:val="18"/>
          <w:szCs w:val="18"/>
          <w:lang w:val="en-GB" w:eastAsia="en-US"/>
        </w:rPr>
        <w:t>1</w:t>
      </w:r>
      <w:r>
        <w:rPr>
          <w:rFonts w:ascii="Times New Roman" w:hAnsi="Times New Roman" w:eastAsia="仿宋_GB2312"/>
          <w:color w:val="000000"/>
          <w:sz w:val="18"/>
          <w:szCs w:val="18"/>
          <w:lang w:val="en-GB"/>
        </w:rPr>
        <w:t>.</w:t>
      </w:r>
      <w:r>
        <w:rPr>
          <w:rFonts w:ascii="Times New Roman" w:hAnsi="Times New Roman" w:eastAsia="仿宋_GB2312"/>
          <w:color w:val="000000"/>
          <w:sz w:val="18"/>
          <w:szCs w:val="18"/>
          <w:lang w:val="en-GB" w:eastAsia="en-US"/>
        </w:rPr>
        <w:t>主网架建设</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_Toc24857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_Toc18481 </w:instrText>
      </w:r>
      <w:r>
        <w:rPr>
          <w:rFonts w:ascii="Times New Roman" w:hAnsi="Times New Roman" w:eastAsia="方正小标宋_GBK"/>
          <w:color w:val="000000"/>
          <w:sz w:val="18"/>
          <w:szCs w:val="18"/>
        </w:rPr>
        <w:fldChar w:fldCharType="separate"/>
      </w:r>
      <w:r>
        <w:rPr>
          <w:rFonts w:ascii="Times New Roman" w:hAnsi="Times New Roman" w:eastAsia="仿宋_GB2312"/>
          <w:color w:val="000000"/>
          <w:sz w:val="18"/>
          <w:szCs w:val="18"/>
          <w:lang w:val="en-GB" w:eastAsia="en-US"/>
        </w:rPr>
        <w:t>2</w:t>
      </w:r>
      <w:r>
        <w:rPr>
          <w:rFonts w:ascii="Times New Roman" w:hAnsi="Times New Roman" w:eastAsia="仿宋_GB2312"/>
          <w:color w:val="000000"/>
          <w:sz w:val="18"/>
          <w:szCs w:val="18"/>
          <w:lang w:val="en-GB"/>
        </w:rPr>
        <w:t>.</w:t>
      </w:r>
      <w:r>
        <w:rPr>
          <w:rFonts w:ascii="Times New Roman" w:hAnsi="Times New Roman" w:eastAsia="仿宋_GB2312"/>
          <w:color w:val="000000"/>
          <w:sz w:val="18"/>
          <w:szCs w:val="18"/>
          <w:lang w:val="en-GB" w:eastAsia="en-US"/>
        </w:rPr>
        <w:t>配电网升级改造</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_Toc18481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_Toc18896 </w:instrText>
      </w:r>
      <w:r>
        <w:rPr>
          <w:rFonts w:ascii="Times New Roman" w:hAnsi="Times New Roman" w:eastAsia="方正小标宋_GBK"/>
          <w:color w:val="000000"/>
          <w:sz w:val="18"/>
          <w:szCs w:val="18"/>
        </w:rPr>
        <w:fldChar w:fldCharType="separate"/>
      </w:r>
      <w:r>
        <w:rPr>
          <w:rFonts w:ascii="Times New Roman" w:hAnsi="Times New Roman" w:eastAsia="仿宋_GB2312"/>
          <w:color w:val="000000"/>
          <w:sz w:val="18"/>
          <w:szCs w:val="18"/>
          <w:lang w:val="en-GB" w:eastAsia="en-US"/>
        </w:rPr>
        <w:t>3</w:t>
      </w:r>
      <w:r>
        <w:rPr>
          <w:rFonts w:ascii="Times New Roman" w:hAnsi="Times New Roman" w:eastAsia="仿宋_GB2312"/>
          <w:color w:val="000000"/>
          <w:sz w:val="18"/>
          <w:szCs w:val="18"/>
          <w:lang w:val="en-GB"/>
        </w:rPr>
        <w:t>.</w:t>
      </w:r>
      <w:r>
        <w:rPr>
          <w:rFonts w:ascii="Times New Roman" w:hAnsi="Times New Roman" w:eastAsia="仿宋_GB2312"/>
          <w:color w:val="000000"/>
          <w:sz w:val="18"/>
          <w:szCs w:val="18"/>
          <w:lang w:val="en-GB" w:eastAsia="en-US"/>
        </w:rPr>
        <w:t>智能电网</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_Toc18896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_Toc13099 </w:instrText>
      </w:r>
      <w:r>
        <w:rPr>
          <w:rFonts w:ascii="Times New Roman" w:hAnsi="Times New Roman" w:eastAsia="方正小标宋_GBK"/>
          <w:color w:val="000000"/>
          <w:sz w:val="18"/>
          <w:szCs w:val="18"/>
        </w:rPr>
        <w:fldChar w:fldCharType="separate"/>
      </w:r>
      <w:r>
        <w:rPr>
          <w:rFonts w:ascii="Times New Roman" w:hAnsi="Times New Roman"/>
          <w:color w:val="000000"/>
          <w:sz w:val="18"/>
          <w:szCs w:val="18"/>
          <w:lang w:val="en-GB" w:eastAsia="en-US"/>
        </w:rPr>
        <w:t>4</w:t>
      </w:r>
      <w:r>
        <w:rPr>
          <w:rFonts w:ascii="Times New Roman" w:hAnsi="Times New Roman" w:eastAsia="仿宋_GB2312"/>
          <w:color w:val="000000"/>
          <w:sz w:val="18"/>
          <w:szCs w:val="18"/>
        </w:rPr>
        <w:t xml:space="preserve">. </w:t>
      </w:r>
      <w:r>
        <w:rPr>
          <w:rFonts w:ascii="Times New Roman" w:hAnsi="Times New Roman" w:eastAsia="仿宋_GB2312"/>
          <w:color w:val="000000"/>
          <w:sz w:val="18"/>
          <w:szCs w:val="18"/>
          <w:lang w:val="en-GB"/>
        </w:rPr>
        <w:t>增量配电网</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_Toc13099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仿宋_GB2312"/>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_Toc13219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lang w:val="en-GB"/>
        </w:rPr>
        <w:t>（三）</w:t>
      </w:r>
      <w:r>
        <w:rPr>
          <w:rFonts w:ascii="Times New Roman" w:hAnsi="Times New Roman" w:eastAsia="楷体"/>
          <w:color w:val="000000"/>
          <w:sz w:val="18"/>
          <w:szCs w:val="18"/>
          <w:lang w:val="en-GB" w:eastAsia="en-US"/>
        </w:rPr>
        <w:t>能源开发利用新模式</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_Toc13219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_Toc10002 </w:instrText>
      </w:r>
      <w:r>
        <w:rPr>
          <w:rFonts w:ascii="Times New Roman" w:hAnsi="Times New Roman" w:eastAsia="方正小标宋_GBK"/>
          <w:color w:val="000000"/>
          <w:sz w:val="18"/>
          <w:szCs w:val="18"/>
        </w:rPr>
        <w:fldChar w:fldCharType="separate"/>
      </w:r>
      <w:r>
        <w:rPr>
          <w:rFonts w:ascii="Times New Roman" w:hAnsi="Times New Roman" w:eastAsia="仿宋_GB2312"/>
          <w:color w:val="000000"/>
          <w:sz w:val="18"/>
          <w:szCs w:val="18"/>
          <w:lang w:val="en-GB" w:eastAsia="en-US"/>
        </w:rPr>
        <w:t>1</w:t>
      </w:r>
      <w:r>
        <w:rPr>
          <w:rFonts w:ascii="Times New Roman" w:hAnsi="Times New Roman" w:eastAsia="仿宋_GB2312"/>
          <w:color w:val="000000"/>
          <w:sz w:val="18"/>
          <w:szCs w:val="18"/>
          <w:lang w:val="en-GB"/>
        </w:rPr>
        <w:t>.</w:t>
      </w:r>
      <w:r>
        <w:rPr>
          <w:rFonts w:ascii="Times New Roman" w:hAnsi="Times New Roman" w:eastAsia="仿宋_GB2312"/>
          <w:color w:val="000000"/>
          <w:sz w:val="18"/>
          <w:szCs w:val="18"/>
          <w:lang w:val="en-GB" w:eastAsia="en-US"/>
        </w:rPr>
        <w:t>氢能产业</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_Toc10002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_Toc12013 </w:instrText>
      </w:r>
      <w:r>
        <w:rPr>
          <w:rFonts w:ascii="Times New Roman" w:hAnsi="Times New Roman" w:eastAsia="方正小标宋_GBK"/>
          <w:color w:val="000000"/>
          <w:sz w:val="18"/>
          <w:szCs w:val="18"/>
        </w:rPr>
        <w:fldChar w:fldCharType="separate"/>
      </w:r>
      <w:r>
        <w:rPr>
          <w:rFonts w:ascii="Times New Roman" w:hAnsi="Times New Roman" w:eastAsia="仿宋_GB2312"/>
          <w:color w:val="000000"/>
          <w:sz w:val="18"/>
          <w:szCs w:val="18"/>
          <w:lang w:val="en-GB" w:eastAsia="en-US"/>
        </w:rPr>
        <w:t>2</w:t>
      </w:r>
      <w:r>
        <w:rPr>
          <w:rFonts w:ascii="Times New Roman" w:hAnsi="Times New Roman" w:eastAsia="仿宋_GB2312"/>
          <w:color w:val="000000"/>
          <w:sz w:val="18"/>
          <w:szCs w:val="18"/>
          <w:lang w:val="en-GB"/>
        </w:rPr>
        <w:t>.</w:t>
      </w:r>
      <w:r>
        <w:rPr>
          <w:rFonts w:ascii="Times New Roman" w:hAnsi="Times New Roman" w:eastAsia="仿宋_GB2312"/>
          <w:color w:val="000000"/>
          <w:sz w:val="18"/>
          <w:szCs w:val="18"/>
          <w:lang w:val="en-GB" w:eastAsia="en-US"/>
        </w:rPr>
        <w:t>电能替代</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_Toc12013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1"/>
        <w:tabs>
          <w:tab w:val="right" w:leader="dot" w:pos="8504"/>
        </w:tabs>
        <w:spacing w:line="240" w:lineRule="exact"/>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_Toc28375 </w:instrText>
      </w:r>
      <w:r>
        <w:rPr>
          <w:rFonts w:ascii="Times New Roman" w:hAnsi="Times New Roman" w:eastAsia="方正小标宋_GBK"/>
          <w:color w:val="000000"/>
          <w:sz w:val="18"/>
          <w:szCs w:val="18"/>
        </w:rPr>
        <w:fldChar w:fldCharType="separate"/>
      </w:r>
      <w:r>
        <w:rPr>
          <w:rFonts w:ascii="Times New Roman" w:hAnsi="Times New Roman" w:eastAsia="方正小标宋_GBK"/>
          <w:color w:val="000000"/>
          <w:sz w:val="18"/>
          <w:szCs w:val="18"/>
        </w:rPr>
        <w:t>第三部分  服务业提档升级</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_Toc28375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_Toc28373 </w:instrText>
      </w:r>
      <w:r>
        <w:rPr>
          <w:rFonts w:ascii="Times New Roman" w:hAnsi="Times New Roman" w:eastAsia="方正小标宋_GBK"/>
          <w:color w:val="000000"/>
          <w:sz w:val="18"/>
          <w:szCs w:val="18"/>
        </w:rPr>
        <w:fldChar w:fldCharType="separate"/>
      </w:r>
      <w:r>
        <w:rPr>
          <w:rFonts w:ascii="Times New Roman" w:hAnsi="Times New Roman" w:eastAsia="黑体"/>
          <w:bCs/>
          <w:color w:val="333333"/>
          <w:kern w:val="0"/>
          <w:sz w:val="18"/>
          <w:szCs w:val="18"/>
          <w:shd w:val="clear" w:color="auto" w:fill="FFFFFF"/>
          <w:lang w:bidi="ar"/>
        </w:rPr>
        <w:t>一、现代服务业集聚区建设</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_Toc28373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_Toc7445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lang w:val="en-GB"/>
        </w:rPr>
        <w:t>（一）现代服务业集聚区建设工程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_Toc7445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_Toc32599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lang w:val="en-GB"/>
        </w:rPr>
        <w:t>（二）现代服务业集聚区培育工程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_Toc32599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_Toc27262 </w:instrText>
      </w:r>
      <w:r>
        <w:rPr>
          <w:rFonts w:ascii="Times New Roman" w:hAnsi="Times New Roman" w:eastAsia="方正小标宋_GBK"/>
          <w:color w:val="000000"/>
          <w:sz w:val="18"/>
          <w:szCs w:val="18"/>
        </w:rPr>
        <w:fldChar w:fldCharType="separate"/>
      </w:r>
      <w:r>
        <w:rPr>
          <w:rFonts w:ascii="Times New Roman" w:hAnsi="Times New Roman" w:eastAsia="黑体"/>
          <w:bCs/>
          <w:color w:val="333333"/>
          <w:kern w:val="0"/>
          <w:sz w:val="18"/>
          <w:szCs w:val="18"/>
          <w:shd w:val="clear" w:color="auto" w:fill="FFFFFF"/>
          <w:lang w:bidi="ar"/>
        </w:rPr>
        <w:t>二、健康养老产业</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_Toc27262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_Toc10358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lang w:val="en-GB"/>
        </w:rPr>
        <w:t>（一）健康养老产业集聚工程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_Toc10358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_Toc4276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lang w:val="en-GB"/>
        </w:rPr>
        <w:t>（二）“互联网+健康养老”工程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_Toc4276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_Toc20531 </w:instrText>
      </w:r>
      <w:r>
        <w:rPr>
          <w:rFonts w:ascii="Times New Roman" w:hAnsi="Times New Roman" w:eastAsia="方正小标宋_GBK"/>
          <w:color w:val="000000"/>
          <w:sz w:val="18"/>
          <w:szCs w:val="18"/>
        </w:rPr>
        <w:fldChar w:fldCharType="separate"/>
      </w:r>
      <w:r>
        <w:rPr>
          <w:rFonts w:ascii="Times New Roman" w:hAnsi="Times New Roman" w:eastAsia="楷体"/>
          <w:sz w:val="18"/>
          <w:szCs w:val="18"/>
        </w:rPr>
        <w:t>（三）医养结合示范工程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_Toc20531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0" w:leftChars="0"/>
        <w:rPr>
          <w:rFonts w:ascii="Times New Roman" w:hAnsi="Times New Roman"/>
          <w:color w:val="000000"/>
          <w:sz w:val="18"/>
          <w:szCs w:val="18"/>
          <w:lang w:val="en-GB" w:eastAsia="en-US"/>
        </w:rPr>
      </w:pPr>
      <w:r>
        <w:rPr>
          <w:rFonts w:hint="eastAsia" w:ascii="Times New Roman" w:hAnsi="Times New Roman" w:eastAsia="方正小标宋_GBK"/>
          <w:color w:val="000000"/>
          <w:sz w:val="18"/>
          <w:szCs w:val="18"/>
        </w:rPr>
        <w:t xml:space="preserve">       </w:t>
      </w: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_Toc19710 </w:instrText>
      </w:r>
      <w:r>
        <w:rPr>
          <w:rFonts w:ascii="Times New Roman" w:hAnsi="Times New Roman" w:eastAsia="方正小标宋_GBK"/>
          <w:color w:val="000000"/>
          <w:sz w:val="18"/>
          <w:szCs w:val="18"/>
        </w:rPr>
        <w:fldChar w:fldCharType="separate"/>
      </w:r>
      <w:r>
        <w:rPr>
          <w:rFonts w:ascii="Times New Roman" w:hAnsi="Times New Roman" w:eastAsia="黑体"/>
          <w:color w:val="000000"/>
          <w:kern w:val="0"/>
          <w:sz w:val="18"/>
          <w:szCs w:val="18"/>
          <w:lang w:val="en-GB"/>
        </w:rPr>
        <w:t>三、</w:t>
      </w:r>
      <w:r>
        <w:rPr>
          <w:rFonts w:ascii="Times New Roman" w:hAnsi="Times New Roman" w:eastAsia="黑体"/>
          <w:color w:val="333333"/>
          <w:kern w:val="0"/>
          <w:sz w:val="18"/>
          <w:szCs w:val="18"/>
          <w:shd w:val="clear" w:color="auto" w:fill="FFFFFF"/>
          <w:lang w:bidi="ar"/>
        </w:rPr>
        <w:t>信息科技服务业</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_Toc19710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_Toc30967 </w:instrText>
      </w:r>
      <w:r>
        <w:rPr>
          <w:rFonts w:ascii="Times New Roman" w:hAnsi="Times New Roman" w:eastAsia="方正小标宋_GBK"/>
          <w:color w:val="000000"/>
          <w:sz w:val="18"/>
          <w:szCs w:val="18"/>
        </w:rPr>
        <w:fldChar w:fldCharType="separate"/>
      </w:r>
      <w:r>
        <w:rPr>
          <w:rFonts w:ascii="Times New Roman" w:hAnsi="Times New Roman" w:eastAsia="楷体"/>
          <w:color w:val="333333"/>
          <w:kern w:val="0"/>
          <w:sz w:val="18"/>
          <w:szCs w:val="18"/>
          <w:shd w:val="clear" w:color="auto" w:fill="FFFFFF"/>
          <w:lang w:bidi="ar"/>
        </w:rPr>
        <w:t>（一）电子商务</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_Toc30967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_Toc20847 </w:instrText>
      </w:r>
      <w:r>
        <w:rPr>
          <w:rFonts w:ascii="Times New Roman" w:hAnsi="Times New Roman" w:eastAsia="方正小标宋_GBK"/>
          <w:color w:val="000000"/>
          <w:sz w:val="18"/>
          <w:szCs w:val="18"/>
        </w:rPr>
        <w:fldChar w:fldCharType="separate"/>
      </w:r>
      <w:r>
        <w:rPr>
          <w:rFonts w:ascii="Times New Roman" w:hAnsi="Times New Roman" w:eastAsia="楷体"/>
          <w:color w:val="333333"/>
          <w:kern w:val="0"/>
          <w:sz w:val="18"/>
          <w:szCs w:val="18"/>
          <w:shd w:val="clear" w:color="auto" w:fill="FFFFFF"/>
          <w:lang w:bidi="ar"/>
        </w:rPr>
        <w:t>（二）公共服务平台</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_Toc20847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_Toc10385 </w:instrText>
      </w:r>
      <w:r>
        <w:rPr>
          <w:rFonts w:ascii="Times New Roman" w:hAnsi="Times New Roman" w:eastAsia="方正小标宋_GBK"/>
          <w:color w:val="000000"/>
          <w:sz w:val="18"/>
          <w:szCs w:val="18"/>
        </w:rPr>
        <w:fldChar w:fldCharType="separate"/>
      </w:r>
      <w:r>
        <w:rPr>
          <w:rFonts w:ascii="Times New Roman" w:hAnsi="Times New Roman" w:eastAsia="楷体"/>
          <w:bCs/>
          <w:color w:val="000000"/>
          <w:kern w:val="0"/>
          <w:sz w:val="18"/>
          <w:szCs w:val="18"/>
        </w:rPr>
        <w:t>（三）工业互联网创新发展</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_Toc10385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_Toc24698 </w:instrText>
      </w:r>
      <w:r>
        <w:rPr>
          <w:rFonts w:ascii="Times New Roman" w:hAnsi="Times New Roman" w:eastAsia="方正小标宋_GBK"/>
          <w:color w:val="000000"/>
          <w:sz w:val="18"/>
          <w:szCs w:val="18"/>
        </w:rPr>
        <w:fldChar w:fldCharType="separate"/>
      </w:r>
      <w:r>
        <w:rPr>
          <w:rFonts w:ascii="Times New Roman" w:hAnsi="Times New Roman" w:eastAsia="楷体"/>
          <w:bCs/>
          <w:color w:val="000000"/>
          <w:kern w:val="0"/>
          <w:sz w:val="18"/>
          <w:szCs w:val="18"/>
        </w:rPr>
        <w:t>（四）重点产业园区数字化改造工程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_Toc24698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_Toc9218 </w:instrText>
      </w:r>
      <w:r>
        <w:rPr>
          <w:rFonts w:ascii="Times New Roman" w:hAnsi="Times New Roman" w:eastAsia="方正小标宋_GBK"/>
          <w:color w:val="000000"/>
          <w:sz w:val="18"/>
          <w:szCs w:val="18"/>
        </w:rPr>
        <w:fldChar w:fldCharType="separate"/>
      </w:r>
      <w:r>
        <w:rPr>
          <w:rFonts w:ascii="Times New Roman" w:hAnsi="Times New Roman" w:eastAsia="楷体"/>
          <w:bCs/>
          <w:color w:val="000000"/>
          <w:sz w:val="18"/>
          <w:szCs w:val="18"/>
        </w:rPr>
        <w:t>（五）通信</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_Toc9218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_Toc28177 </w:instrText>
      </w:r>
      <w:r>
        <w:rPr>
          <w:rFonts w:ascii="Times New Roman" w:hAnsi="Times New Roman" w:eastAsia="方正小标宋_GBK"/>
          <w:color w:val="000000"/>
          <w:sz w:val="18"/>
          <w:szCs w:val="18"/>
        </w:rPr>
        <w:fldChar w:fldCharType="separate"/>
      </w:r>
      <w:r>
        <w:rPr>
          <w:rFonts w:ascii="Times New Roman" w:hAnsi="Times New Roman" w:eastAsia="楷体"/>
          <w:color w:val="333333"/>
          <w:kern w:val="0"/>
          <w:sz w:val="18"/>
          <w:szCs w:val="18"/>
          <w:shd w:val="clear" w:color="auto" w:fill="FFFFFF"/>
          <w:lang w:bidi="ar"/>
        </w:rPr>
        <w:t>（六）信息技术示范</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_Toc28177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_Toc3743 </w:instrText>
      </w:r>
      <w:r>
        <w:rPr>
          <w:rFonts w:ascii="Times New Roman" w:hAnsi="Times New Roman" w:eastAsia="方正小标宋_GBK"/>
          <w:color w:val="000000"/>
          <w:sz w:val="18"/>
          <w:szCs w:val="18"/>
        </w:rPr>
        <w:fldChar w:fldCharType="separate"/>
      </w:r>
      <w:r>
        <w:rPr>
          <w:rFonts w:ascii="Times New Roman" w:hAnsi="Times New Roman" w:eastAsia="黑体"/>
          <w:color w:val="333333"/>
          <w:kern w:val="0"/>
          <w:sz w:val="18"/>
          <w:szCs w:val="18"/>
          <w:shd w:val="clear" w:color="auto" w:fill="FFFFFF"/>
          <w:lang w:bidi="ar"/>
        </w:rPr>
        <w:t>四、金融服务业</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_Toc3743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_Toc15031 </w:instrText>
      </w:r>
      <w:r>
        <w:rPr>
          <w:rFonts w:ascii="Times New Roman" w:hAnsi="Times New Roman" w:eastAsia="方正小标宋_GBK"/>
          <w:color w:val="000000"/>
          <w:sz w:val="18"/>
          <w:szCs w:val="18"/>
        </w:rPr>
        <w:fldChar w:fldCharType="separate"/>
      </w:r>
      <w:r>
        <w:rPr>
          <w:rFonts w:ascii="Times New Roman" w:hAnsi="Times New Roman" w:eastAsia="楷体"/>
          <w:bCs/>
          <w:color w:val="000000"/>
          <w:kern w:val="0"/>
          <w:sz w:val="18"/>
          <w:szCs w:val="18"/>
          <w:lang w:val="en-GB"/>
        </w:rPr>
        <w:t>（一）</w:t>
      </w:r>
      <w:r>
        <w:rPr>
          <w:rFonts w:ascii="Times New Roman" w:hAnsi="Times New Roman" w:eastAsia="楷体"/>
          <w:bCs/>
          <w:color w:val="000000"/>
          <w:kern w:val="0"/>
          <w:sz w:val="18"/>
          <w:szCs w:val="18"/>
          <w:lang w:val="en-GB" w:eastAsia="en-US"/>
        </w:rPr>
        <w:t>阅海湾中央商务区金融集聚工程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_Toc15031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_Toc12117 </w:instrText>
      </w:r>
      <w:r>
        <w:rPr>
          <w:rFonts w:ascii="Times New Roman" w:hAnsi="Times New Roman" w:eastAsia="方正小标宋_GBK"/>
          <w:color w:val="000000"/>
          <w:sz w:val="18"/>
          <w:szCs w:val="18"/>
        </w:rPr>
        <w:fldChar w:fldCharType="separate"/>
      </w:r>
      <w:r>
        <w:rPr>
          <w:rFonts w:ascii="Times New Roman" w:hAnsi="Times New Roman" w:eastAsia="楷体"/>
          <w:bCs/>
          <w:color w:val="000000"/>
          <w:kern w:val="0"/>
          <w:sz w:val="18"/>
          <w:szCs w:val="18"/>
          <w:lang w:val="en-GB"/>
        </w:rPr>
        <w:t>（二）</w:t>
      </w:r>
      <w:r>
        <w:rPr>
          <w:rFonts w:ascii="Times New Roman" w:hAnsi="Times New Roman" w:eastAsia="楷体"/>
          <w:bCs/>
          <w:color w:val="000000"/>
          <w:kern w:val="0"/>
          <w:sz w:val="18"/>
          <w:szCs w:val="18"/>
          <w:lang w:val="en-GB" w:eastAsia="en-US"/>
        </w:rPr>
        <w:t>金融产品与服务创新工程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_Toc12117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_Toc16436 </w:instrText>
      </w:r>
      <w:r>
        <w:rPr>
          <w:rFonts w:ascii="Times New Roman" w:hAnsi="Times New Roman" w:eastAsia="方正小标宋_GBK"/>
          <w:color w:val="000000"/>
          <w:sz w:val="18"/>
          <w:szCs w:val="18"/>
        </w:rPr>
        <w:fldChar w:fldCharType="separate"/>
      </w:r>
      <w:r>
        <w:rPr>
          <w:rFonts w:ascii="Times New Roman" w:hAnsi="Times New Roman" w:eastAsia="楷体"/>
          <w:bCs/>
          <w:color w:val="000000"/>
          <w:kern w:val="0"/>
          <w:sz w:val="18"/>
          <w:szCs w:val="18"/>
          <w:lang w:val="en-GB"/>
        </w:rPr>
        <w:t>（三）</w:t>
      </w:r>
      <w:r>
        <w:rPr>
          <w:rFonts w:ascii="Times New Roman" w:hAnsi="Times New Roman" w:eastAsia="楷体"/>
          <w:bCs/>
          <w:color w:val="000000"/>
          <w:kern w:val="0"/>
          <w:sz w:val="18"/>
          <w:szCs w:val="18"/>
          <w:lang w:val="en-GB" w:eastAsia="en-US"/>
        </w:rPr>
        <w:t>金融科技企业培育工程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_Toc16436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_Toc29980 </w:instrText>
      </w:r>
      <w:r>
        <w:rPr>
          <w:rFonts w:ascii="Times New Roman" w:hAnsi="Times New Roman" w:eastAsia="方正小标宋_GBK"/>
          <w:color w:val="000000"/>
          <w:sz w:val="18"/>
          <w:szCs w:val="18"/>
        </w:rPr>
        <w:fldChar w:fldCharType="separate"/>
      </w:r>
      <w:r>
        <w:rPr>
          <w:rFonts w:ascii="Times New Roman" w:hAnsi="Times New Roman" w:eastAsia="黑体"/>
          <w:color w:val="333333"/>
          <w:kern w:val="0"/>
          <w:sz w:val="18"/>
          <w:szCs w:val="18"/>
          <w:shd w:val="clear" w:color="auto" w:fill="FFFFFF"/>
          <w:lang w:bidi="ar"/>
        </w:rPr>
        <w:t>五、现代物流产业</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_Toc29980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_Toc17606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rPr>
        <w:t>（一）智慧物流产业链建设工程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_Toc17606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_Toc23505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rPr>
        <w:t>（二）物流业与制造业融合发展工程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_Toc23505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_Toc20743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rPr>
        <w:t>（三）物流供应链一体化示范工程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_Toc20743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_Toc7440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rPr>
        <w:t>（四）城市配送模式创新工程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_Toc7440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_Toc26084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rPr>
        <w:t>（五）完善农村配送体系建设工程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_Toc26084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_Toc13518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六、文化创意产业</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_Toc13518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_Toc16315 </w:instrText>
      </w:r>
      <w:r>
        <w:rPr>
          <w:rFonts w:ascii="Times New Roman" w:hAnsi="Times New Roman" w:eastAsia="方正小标宋_GBK"/>
          <w:color w:val="000000"/>
          <w:sz w:val="18"/>
          <w:szCs w:val="18"/>
        </w:rPr>
        <w:fldChar w:fldCharType="separate"/>
      </w:r>
      <w:r>
        <w:rPr>
          <w:rFonts w:ascii="Times New Roman" w:hAnsi="Times New Roman" w:eastAsia="楷体"/>
          <w:kern w:val="0"/>
          <w:sz w:val="18"/>
          <w:szCs w:val="18"/>
          <w:shd w:val="clear" w:color="auto" w:fill="FFFFFF"/>
          <w:lang w:bidi="ar"/>
        </w:rPr>
        <w:t>（一）工业设计</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_Toc16315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_Toc21918 </w:instrText>
      </w:r>
      <w:r>
        <w:rPr>
          <w:rFonts w:ascii="Times New Roman" w:hAnsi="Times New Roman" w:eastAsia="方正小标宋_GBK"/>
          <w:color w:val="000000"/>
          <w:sz w:val="18"/>
          <w:szCs w:val="18"/>
        </w:rPr>
        <w:fldChar w:fldCharType="separate"/>
      </w:r>
      <w:r>
        <w:rPr>
          <w:rFonts w:ascii="Times New Roman" w:hAnsi="Times New Roman" w:eastAsia="楷体"/>
          <w:kern w:val="0"/>
          <w:sz w:val="18"/>
          <w:szCs w:val="18"/>
          <w:shd w:val="clear" w:color="auto" w:fill="FFFFFF"/>
          <w:lang w:bidi="ar"/>
        </w:rPr>
        <w:t>（二）创意设计</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_Toc21918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_Toc10674 </w:instrText>
      </w:r>
      <w:r>
        <w:rPr>
          <w:rFonts w:ascii="Times New Roman" w:hAnsi="Times New Roman" w:eastAsia="方正小标宋_GBK"/>
          <w:color w:val="000000"/>
          <w:sz w:val="18"/>
          <w:szCs w:val="18"/>
        </w:rPr>
        <w:fldChar w:fldCharType="separate"/>
      </w:r>
      <w:r>
        <w:rPr>
          <w:rFonts w:ascii="Times New Roman" w:hAnsi="Times New Roman" w:eastAsia="楷体"/>
          <w:kern w:val="0"/>
          <w:sz w:val="18"/>
          <w:szCs w:val="18"/>
          <w:shd w:val="clear" w:color="auto" w:fill="FFFFFF"/>
          <w:lang w:bidi="ar"/>
        </w:rPr>
        <w:t>（三）文化创意产业培育工程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_Toc10674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_Toc28332 </w:instrText>
      </w:r>
      <w:r>
        <w:rPr>
          <w:rFonts w:ascii="Times New Roman" w:hAnsi="Times New Roman" w:eastAsia="方正小标宋_GBK"/>
          <w:color w:val="000000"/>
          <w:sz w:val="18"/>
          <w:szCs w:val="18"/>
        </w:rPr>
        <w:fldChar w:fldCharType="separate"/>
      </w:r>
      <w:r>
        <w:rPr>
          <w:rFonts w:ascii="Times New Roman" w:hAnsi="Times New Roman" w:eastAsia="黑体"/>
          <w:bCs/>
          <w:kern w:val="0"/>
          <w:sz w:val="18"/>
          <w:szCs w:val="18"/>
          <w:shd w:val="clear" w:color="auto" w:fill="FFFFFF"/>
          <w:lang w:bidi="ar"/>
        </w:rPr>
        <w:t>七、旅游产业</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_Toc28332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_Toc5323 </w:instrText>
      </w:r>
      <w:r>
        <w:rPr>
          <w:rFonts w:ascii="Times New Roman" w:hAnsi="Times New Roman" w:eastAsia="方正小标宋_GBK"/>
          <w:color w:val="000000"/>
          <w:sz w:val="18"/>
          <w:szCs w:val="18"/>
        </w:rPr>
        <w:fldChar w:fldCharType="separate"/>
      </w:r>
      <w:r>
        <w:rPr>
          <w:rFonts w:ascii="Times New Roman" w:hAnsi="Times New Roman" w:eastAsia="楷体"/>
          <w:bCs/>
          <w:kern w:val="0"/>
          <w:sz w:val="18"/>
          <w:szCs w:val="18"/>
          <w:shd w:val="clear" w:color="auto" w:fill="FFFFFF"/>
          <w:lang w:bidi="ar"/>
        </w:rPr>
        <w:t>（一）银川都市圈全域旅游核心区培育工程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_Toc5323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_Toc22841 </w:instrText>
      </w:r>
      <w:r>
        <w:rPr>
          <w:rFonts w:ascii="Times New Roman" w:hAnsi="Times New Roman" w:eastAsia="方正小标宋_GBK"/>
          <w:color w:val="000000"/>
          <w:sz w:val="18"/>
          <w:szCs w:val="18"/>
        </w:rPr>
        <w:fldChar w:fldCharType="separate"/>
      </w:r>
      <w:r>
        <w:rPr>
          <w:rFonts w:ascii="Times New Roman" w:hAnsi="Times New Roman"/>
          <w:color w:val="000000"/>
          <w:sz w:val="18"/>
          <w:szCs w:val="18"/>
          <w:lang w:val="en-GB" w:eastAsia="en-US"/>
        </w:rPr>
        <w:t>（</w:t>
      </w:r>
      <w:r>
        <w:rPr>
          <w:rFonts w:ascii="Times New Roman" w:hAnsi="Times New Roman" w:eastAsia="楷体"/>
          <w:bCs/>
          <w:kern w:val="0"/>
          <w:sz w:val="18"/>
          <w:szCs w:val="18"/>
          <w:shd w:val="clear" w:color="auto" w:fill="FFFFFF"/>
          <w:lang w:bidi="ar"/>
        </w:rPr>
        <w:t>二） 沿黄生态旅游带建设工程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_Toc22841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楷体"/>
          <w:bCs/>
          <w:kern w:val="0"/>
          <w:sz w:val="18"/>
          <w:szCs w:val="18"/>
          <w:shd w:val="clear" w:color="auto" w:fill="FFFFFF"/>
          <w:lang w:bidi="ar"/>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_Toc26050 </w:instrText>
      </w:r>
      <w:r>
        <w:rPr>
          <w:rFonts w:ascii="Times New Roman" w:hAnsi="Times New Roman" w:eastAsia="方正小标宋_GBK"/>
          <w:color w:val="000000"/>
          <w:sz w:val="18"/>
          <w:szCs w:val="18"/>
        </w:rPr>
        <w:fldChar w:fldCharType="separate"/>
      </w:r>
      <w:r>
        <w:rPr>
          <w:rFonts w:ascii="Times New Roman" w:hAnsi="Times New Roman"/>
          <w:color w:val="000000"/>
          <w:sz w:val="18"/>
          <w:szCs w:val="18"/>
          <w:lang w:val="en-GB" w:eastAsia="en-US"/>
        </w:rPr>
        <w:t>（</w:t>
      </w:r>
      <w:r>
        <w:rPr>
          <w:rFonts w:ascii="Times New Roman" w:hAnsi="Times New Roman" w:eastAsia="楷体"/>
          <w:bCs/>
          <w:kern w:val="0"/>
          <w:sz w:val="18"/>
          <w:szCs w:val="18"/>
          <w:shd w:val="clear" w:color="auto" w:fill="FFFFFF"/>
          <w:lang w:bidi="ar"/>
        </w:rPr>
        <w:t>三） 贺兰山东麓生态文化旅游带建设工程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_Toc26050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楷体"/>
          <w:bCs/>
          <w:kern w:val="0"/>
          <w:sz w:val="18"/>
          <w:szCs w:val="18"/>
          <w:shd w:val="clear" w:color="auto" w:fill="FFFFFF"/>
          <w:lang w:bidi="ar"/>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_Toc30750 </w:instrText>
      </w:r>
      <w:r>
        <w:rPr>
          <w:rFonts w:ascii="Times New Roman" w:hAnsi="Times New Roman" w:eastAsia="方正小标宋_GBK"/>
          <w:color w:val="000000"/>
          <w:sz w:val="18"/>
          <w:szCs w:val="18"/>
        </w:rPr>
        <w:fldChar w:fldCharType="separate"/>
      </w:r>
      <w:r>
        <w:rPr>
          <w:rFonts w:ascii="Times New Roman" w:hAnsi="Times New Roman"/>
          <w:color w:val="000000"/>
          <w:sz w:val="18"/>
          <w:szCs w:val="18"/>
          <w:lang w:val="en-GB" w:eastAsia="en-US"/>
        </w:rPr>
        <w:t>（</w:t>
      </w:r>
      <w:r>
        <w:rPr>
          <w:rFonts w:ascii="Times New Roman" w:hAnsi="Times New Roman" w:eastAsia="楷体"/>
          <w:bCs/>
          <w:kern w:val="0"/>
          <w:sz w:val="18"/>
          <w:szCs w:val="18"/>
          <w:shd w:val="clear" w:color="auto" w:fill="FFFFFF"/>
          <w:lang w:bidi="ar"/>
        </w:rPr>
        <w:t>四） 特色“研学游”一体文化产业园培育工程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_Toc30750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楷体"/>
          <w:bCs/>
          <w:kern w:val="0"/>
          <w:sz w:val="18"/>
          <w:szCs w:val="18"/>
          <w:shd w:val="clear" w:color="auto" w:fill="FFFFFF"/>
          <w:lang w:bidi="ar"/>
        </w:rPr>
        <w:fldChar w:fldCharType="end"/>
      </w:r>
    </w:p>
    <w:p>
      <w:pPr>
        <w:pStyle w:val="11"/>
        <w:tabs>
          <w:tab w:val="right" w:leader="dot" w:pos="8504"/>
        </w:tabs>
        <w:spacing w:line="240" w:lineRule="exact"/>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_Toc2258 </w:instrText>
      </w:r>
      <w:r>
        <w:rPr>
          <w:rFonts w:ascii="Times New Roman" w:hAnsi="Times New Roman" w:eastAsia="方正小标宋_GBK"/>
          <w:color w:val="000000"/>
          <w:sz w:val="18"/>
          <w:szCs w:val="18"/>
        </w:rPr>
        <w:fldChar w:fldCharType="separate"/>
      </w:r>
      <w:r>
        <w:rPr>
          <w:rFonts w:ascii="Times New Roman" w:hAnsi="Times New Roman" w:eastAsia="方正小标宋_GBK"/>
          <w:color w:val="000000"/>
          <w:sz w:val="18"/>
          <w:szCs w:val="18"/>
        </w:rPr>
        <w:t>第四部分  战略性新兴产业</w:t>
      </w:r>
      <w:r>
        <w:rPr>
          <w:rFonts w:ascii="Times New Roman" w:hAnsi="Times New Roman" w:eastAsia="仿宋_GB2312"/>
          <w:color w:val="000000"/>
          <w:sz w:val="18"/>
          <w:szCs w:val="18"/>
        </w:rPr>
        <w:t>（自治区专项资金支持方向）</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_Toc2258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hint="eastAsia" w:ascii="Times New Roman" w:hAnsi="Times New Roman" w:eastAsia="方正小标宋_GBK"/>
          <w:color w:val="000000"/>
          <w:sz w:val="18"/>
          <w:szCs w:val="18"/>
        </w:rPr>
        <w:t xml:space="preserve">       </w:t>
      </w: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_Toc23096 </w:instrText>
      </w:r>
      <w:r>
        <w:rPr>
          <w:rFonts w:ascii="Times New Roman" w:hAnsi="Times New Roman" w:eastAsia="方正小标宋_GBK"/>
          <w:color w:val="000000"/>
          <w:sz w:val="18"/>
          <w:szCs w:val="18"/>
        </w:rPr>
        <w:fldChar w:fldCharType="separate"/>
      </w:r>
      <w:r>
        <w:rPr>
          <w:rFonts w:ascii="Times New Roman" w:hAnsi="Times New Roman" w:eastAsia="楷体"/>
          <w:bCs/>
          <w:color w:val="000000"/>
          <w:sz w:val="18"/>
          <w:szCs w:val="18"/>
          <w:lang w:val="en-GB" w:eastAsia="en-US"/>
        </w:rPr>
        <w:t>（一）新材料产业</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_Toc23096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hint="eastAsia" w:ascii="Times New Roman" w:hAnsi="Times New Roman" w:eastAsia="方正小标宋_GBK"/>
          <w:color w:val="000000"/>
          <w:sz w:val="18"/>
          <w:szCs w:val="18"/>
        </w:rPr>
        <w:t xml:space="preserve">       </w:t>
      </w: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_Toc13255 </w:instrText>
      </w:r>
      <w:r>
        <w:rPr>
          <w:rFonts w:ascii="Times New Roman" w:hAnsi="Times New Roman" w:eastAsia="方正小标宋_GBK"/>
          <w:color w:val="000000"/>
          <w:sz w:val="18"/>
          <w:szCs w:val="18"/>
        </w:rPr>
        <w:fldChar w:fldCharType="separate"/>
      </w:r>
      <w:r>
        <w:rPr>
          <w:rFonts w:ascii="Times New Roman" w:hAnsi="Times New Roman" w:eastAsia="楷体"/>
          <w:bCs/>
          <w:color w:val="000000"/>
          <w:sz w:val="18"/>
          <w:szCs w:val="18"/>
          <w:lang w:val="en-GB" w:eastAsia="en-US"/>
        </w:rPr>
        <w:t>（二）新能源产业</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_Toc13255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hint="eastAsia" w:ascii="Times New Roman" w:hAnsi="Times New Roman" w:eastAsia="方正小标宋_GBK"/>
          <w:color w:val="000000"/>
          <w:sz w:val="18"/>
          <w:szCs w:val="18"/>
        </w:rPr>
        <w:t xml:space="preserve">       </w:t>
      </w: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_Toc14326 </w:instrText>
      </w:r>
      <w:r>
        <w:rPr>
          <w:rFonts w:ascii="Times New Roman" w:hAnsi="Times New Roman" w:eastAsia="方正小标宋_GBK"/>
          <w:color w:val="000000"/>
          <w:sz w:val="18"/>
          <w:szCs w:val="18"/>
        </w:rPr>
        <w:fldChar w:fldCharType="separate"/>
      </w:r>
      <w:r>
        <w:rPr>
          <w:rFonts w:ascii="Times New Roman" w:hAnsi="Times New Roman" w:eastAsia="楷体"/>
          <w:bCs/>
          <w:color w:val="000000"/>
          <w:sz w:val="18"/>
          <w:szCs w:val="18"/>
          <w:lang w:val="en-GB" w:eastAsia="en-US"/>
        </w:rPr>
        <w:t>（三）先进装备制造</w:t>
      </w:r>
      <w:r>
        <w:rPr>
          <w:rFonts w:ascii="Times New Roman" w:hAnsi="Times New Roman" w:eastAsia="楷体"/>
          <w:bCs/>
          <w:color w:val="000000"/>
          <w:sz w:val="18"/>
          <w:szCs w:val="18"/>
          <w:lang w:val="en-GB"/>
        </w:rPr>
        <w:t>产业</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_Toc14326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hint="eastAsia" w:ascii="Times New Roman" w:hAnsi="Times New Roman" w:eastAsia="方正小标宋_GBK"/>
          <w:color w:val="000000"/>
          <w:sz w:val="18"/>
          <w:szCs w:val="18"/>
        </w:rPr>
        <w:t xml:space="preserve">       </w:t>
      </w: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_Toc13503 </w:instrText>
      </w:r>
      <w:r>
        <w:rPr>
          <w:rFonts w:ascii="Times New Roman" w:hAnsi="Times New Roman" w:eastAsia="方正小标宋_GBK"/>
          <w:color w:val="000000"/>
          <w:sz w:val="18"/>
          <w:szCs w:val="18"/>
        </w:rPr>
        <w:fldChar w:fldCharType="separate"/>
      </w:r>
      <w:r>
        <w:rPr>
          <w:rFonts w:ascii="Times New Roman" w:hAnsi="Times New Roman" w:eastAsia="楷体"/>
          <w:bCs/>
          <w:color w:val="000000"/>
          <w:sz w:val="18"/>
          <w:szCs w:val="18"/>
          <w:lang w:val="en-GB" w:eastAsia="en-US"/>
        </w:rPr>
        <w:t>（四）生物产业</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_Toc13503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hint="eastAsia" w:ascii="Times New Roman" w:hAnsi="Times New Roman" w:eastAsia="方正小标宋_GBK"/>
          <w:color w:val="000000"/>
          <w:sz w:val="18"/>
          <w:szCs w:val="18"/>
        </w:rPr>
        <w:t xml:space="preserve">       </w:t>
      </w: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_Toc11925 </w:instrText>
      </w:r>
      <w:r>
        <w:rPr>
          <w:rFonts w:ascii="Times New Roman" w:hAnsi="Times New Roman" w:eastAsia="方正小标宋_GBK"/>
          <w:color w:val="000000"/>
          <w:sz w:val="18"/>
          <w:szCs w:val="18"/>
        </w:rPr>
        <w:fldChar w:fldCharType="separate"/>
      </w:r>
      <w:r>
        <w:rPr>
          <w:rFonts w:ascii="Times New Roman" w:hAnsi="Times New Roman" w:eastAsia="楷体"/>
          <w:bCs/>
          <w:color w:val="000000"/>
          <w:sz w:val="18"/>
          <w:szCs w:val="18"/>
          <w:lang w:val="en-GB" w:eastAsia="en-US"/>
        </w:rPr>
        <w:t>（五）节能环保产业</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_Toc11925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hint="eastAsia" w:ascii="Times New Roman" w:hAnsi="Times New Roman" w:eastAsia="方正小标宋_GBK"/>
          <w:color w:val="000000"/>
          <w:sz w:val="18"/>
          <w:szCs w:val="18"/>
        </w:rPr>
        <w:t xml:space="preserve">       </w:t>
      </w: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_Toc3059 </w:instrText>
      </w:r>
      <w:r>
        <w:rPr>
          <w:rFonts w:ascii="Times New Roman" w:hAnsi="Times New Roman" w:eastAsia="方正小标宋_GBK"/>
          <w:color w:val="000000"/>
          <w:sz w:val="18"/>
          <w:szCs w:val="18"/>
        </w:rPr>
        <w:fldChar w:fldCharType="separate"/>
      </w:r>
      <w:r>
        <w:rPr>
          <w:rFonts w:ascii="Times New Roman" w:hAnsi="Times New Roman" w:eastAsia="楷体"/>
          <w:bCs/>
          <w:color w:val="000000"/>
          <w:sz w:val="18"/>
          <w:szCs w:val="18"/>
          <w:lang w:val="en-GB" w:eastAsia="en-US"/>
        </w:rPr>
        <w:t>（六）</w:t>
      </w:r>
      <w:r>
        <w:rPr>
          <w:rFonts w:ascii="Times New Roman" w:hAnsi="Times New Roman" w:eastAsia="楷体"/>
          <w:bCs/>
          <w:color w:val="000000"/>
          <w:sz w:val="18"/>
          <w:szCs w:val="18"/>
          <w:lang w:val="en-GB"/>
        </w:rPr>
        <w:t>新一代信息技术</w:t>
      </w:r>
      <w:r>
        <w:rPr>
          <w:rFonts w:ascii="Times New Roman" w:hAnsi="Times New Roman" w:eastAsia="楷体"/>
          <w:bCs/>
          <w:color w:val="000000"/>
          <w:sz w:val="18"/>
          <w:szCs w:val="18"/>
          <w:lang w:val="en-GB" w:eastAsia="en-US"/>
        </w:rPr>
        <w:t>产业</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_Toc3059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hint="eastAsia" w:ascii="Times New Roman" w:hAnsi="Times New Roman" w:eastAsia="方正小标宋_GBK"/>
          <w:color w:val="000000"/>
          <w:sz w:val="18"/>
          <w:szCs w:val="18"/>
        </w:rPr>
        <w:t xml:space="preserve">       </w:t>
      </w: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_Toc235 </w:instrText>
      </w:r>
      <w:r>
        <w:rPr>
          <w:rFonts w:ascii="Times New Roman" w:hAnsi="Times New Roman" w:eastAsia="方正小标宋_GBK"/>
          <w:color w:val="000000"/>
          <w:sz w:val="18"/>
          <w:szCs w:val="18"/>
        </w:rPr>
        <w:fldChar w:fldCharType="separate"/>
      </w:r>
      <w:r>
        <w:rPr>
          <w:rFonts w:ascii="Times New Roman" w:hAnsi="Times New Roman" w:eastAsia="楷体"/>
          <w:bCs/>
          <w:color w:val="000000"/>
          <w:sz w:val="18"/>
          <w:szCs w:val="18"/>
          <w:lang w:val="en-GB"/>
        </w:rPr>
        <w:t>（</w:t>
      </w:r>
      <w:r>
        <w:rPr>
          <w:rFonts w:ascii="Times New Roman" w:hAnsi="Times New Roman" w:eastAsia="楷体"/>
          <w:bCs/>
          <w:color w:val="000000"/>
          <w:sz w:val="18"/>
          <w:szCs w:val="18"/>
          <w:lang w:val="en-GB" w:eastAsia="en-US"/>
        </w:rPr>
        <w:t>七</w:t>
      </w:r>
      <w:r>
        <w:rPr>
          <w:rFonts w:ascii="Times New Roman" w:hAnsi="Times New Roman" w:eastAsia="楷体"/>
          <w:bCs/>
          <w:color w:val="000000"/>
          <w:sz w:val="18"/>
          <w:szCs w:val="18"/>
          <w:lang w:val="en-GB"/>
        </w:rPr>
        <w:t>）数字创意产业</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_Toc235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hint="eastAsia" w:ascii="Times New Roman" w:hAnsi="Times New Roman" w:eastAsia="方正小标宋_GBK"/>
          <w:color w:val="000000"/>
          <w:sz w:val="18"/>
          <w:szCs w:val="18"/>
        </w:rPr>
        <w:t xml:space="preserve">       </w:t>
      </w: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_Toc29120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（八）重大科技基础设施</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_Toc29120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1"/>
        <w:tabs>
          <w:tab w:val="right" w:leader="dot" w:pos="8504"/>
        </w:tabs>
        <w:spacing w:line="240" w:lineRule="exact"/>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_Toc2872 </w:instrText>
      </w:r>
      <w:r>
        <w:rPr>
          <w:rFonts w:ascii="Times New Roman" w:hAnsi="Times New Roman" w:eastAsia="方正小标宋_GBK"/>
          <w:color w:val="000000"/>
          <w:sz w:val="18"/>
          <w:szCs w:val="18"/>
        </w:rPr>
        <w:fldChar w:fldCharType="separate"/>
      </w:r>
      <w:r>
        <w:rPr>
          <w:rFonts w:ascii="Times New Roman" w:hAnsi="Times New Roman" w:eastAsia="方正小标宋_GBK"/>
          <w:color w:val="000000"/>
          <w:sz w:val="18"/>
          <w:szCs w:val="18"/>
        </w:rPr>
        <w:t>第五部分  “一带一路”建设</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_Toc2872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_Toc10581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开放平台建设</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_Toc10581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1"/>
        <w:tabs>
          <w:tab w:val="right" w:leader="dot" w:pos="8504"/>
        </w:tabs>
        <w:spacing w:line="240" w:lineRule="exact"/>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_Toc17438 </w:instrText>
      </w:r>
      <w:r>
        <w:rPr>
          <w:rFonts w:ascii="Times New Roman" w:hAnsi="Times New Roman" w:eastAsia="方正小标宋_GBK"/>
          <w:color w:val="000000"/>
          <w:sz w:val="18"/>
          <w:szCs w:val="18"/>
        </w:rPr>
        <w:fldChar w:fldCharType="separate"/>
      </w:r>
      <w:r>
        <w:rPr>
          <w:rFonts w:ascii="Times New Roman" w:hAnsi="Times New Roman" w:eastAsia="方正小标宋_GBK"/>
          <w:spacing w:val="-14"/>
          <w:sz w:val="18"/>
          <w:szCs w:val="18"/>
        </w:rPr>
        <w:t xml:space="preserve">第六部分  </w:t>
      </w:r>
      <w:r>
        <w:rPr>
          <w:rFonts w:ascii="Times New Roman" w:hAnsi="Times New Roman" w:eastAsia="方正小标宋_GBK"/>
          <w:color w:val="000000"/>
          <w:spacing w:val="-14"/>
          <w:sz w:val="18"/>
          <w:szCs w:val="18"/>
        </w:rPr>
        <w:t>黄河流域生态保护和高质量发展</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_Toc17438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1"/>
        <w:tabs>
          <w:tab w:val="right" w:leader="dot" w:pos="8504"/>
        </w:tabs>
        <w:spacing w:line="240" w:lineRule="exact"/>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_Toc13908 </w:instrText>
      </w:r>
      <w:r>
        <w:rPr>
          <w:rFonts w:ascii="Times New Roman" w:hAnsi="Times New Roman" w:eastAsia="方正小标宋_GBK"/>
          <w:color w:val="000000"/>
          <w:sz w:val="18"/>
          <w:szCs w:val="18"/>
        </w:rPr>
        <w:fldChar w:fldCharType="separate"/>
      </w:r>
      <w:r>
        <w:rPr>
          <w:rFonts w:ascii="Times New Roman" w:hAnsi="Times New Roman" w:eastAsia="方正小标宋_GBK"/>
          <w:color w:val="000000"/>
          <w:sz w:val="18"/>
          <w:szCs w:val="18"/>
        </w:rPr>
        <w:t>第七部分  银川都市圈建设</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_Toc13908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_Toc29232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一、基础设施联通</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_Toc29232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_Toc14483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二、产业协同互补</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_Toc14483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_Toc9011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三、生态环境治理</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_Toc9011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_Toc26341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四、公共服务共享</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_Toc26341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1"/>
        <w:tabs>
          <w:tab w:val="right" w:leader="dot" w:pos="8504"/>
        </w:tabs>
        <w:spacing w:line="240" w:lineRule="exact"/>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_Toc6735 </w:instrText>
      </w:r>
      <w:r>
        <w:rPr>
          <w:rFonts w:ascii="Times New Roman" w:hAnsi="Times New Roman" w:eastAsia="方正小标宋_GBK"/>
          <w:color w:val="000000"/>
          <w:sz w:val="18"/>
          <w:szCs w:val="18"/>
        </w:rPr>
        <w:fldChar w:fldCharType="separate"/>
      </w:r>
      <w:r>
        <w:rPr>
          <w:rFonts w:ascii="Times New Roman" w:hAnsi="Times New Roman" w:eastAsia="方正小标宋_GBK"/>
          <w:sz w:val="18"/>
          <w:szCs w:val="18"/>
        </w:rPr>
        <w:t xml:space="preserve">第八部分  </w:t>
      </w:r>
      <w:r>
        <w:rPr>
          <w:rFonts w:ascii="Times New Roman" w:hAnsi="Times New Roman" w:eastAsia="方正小标宋_GBK"/>
          <w:color w:val="000000"/>
          <w:sz w:val="18"/>
          <w:szCs w:val="18"/>
          <w:lang w:val="en-GB" w:eastAsia="en-US"/>
        </w:rPr>
        <w:t>老工业区改造提升工程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_Toc6735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1"/>
        <w:tabs>
          <w:tab w:val="right" w:leader="dot" w:pos="8504"/>
        </w:tabs>
        <w:spacing w:line="240" w:lineRule="exact"/>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_Toc10502 </w:instrText>
      </w:r>
      <w:r>
        <w:rPr>
          <w:rFonts w:ascii="Times New Roman" w:hAnsi="Times New Roman" w:eastAsia="方正小标宋_GBK"/>
          <w:color w:val="000000"/>
          <w:sz w:val="18"/>
          <w:szCs w:val="18"/>
        </w:rPr>
        <w:fldChar w:fldCharType="separate"/>
      </w:r>
      <w:r>
        <w:rPr>
          <w:rFonts w:ascii="Times New Roman" w:hAnsi="Times New Roman" w:eastAsia="方正小标宋_GBK"/>
          <w:color w:val="000000"/>
          <w:sz w:val="18"/>
          <w:szCs w:val="18"/>
        </w:rPr>
        <w:t>第九部分  交通基础设施</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_Toc10502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_Toc21682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lang w:val="en-GB"/>
        </w:rPr>
        <w:t>一、铁路专用线</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_Toc21682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_Toc4649 </w:instrText>
      </w:r>
      <w:r>
        <w:rPr>
          <w:rFonts w:ascii="Times New Roman" w:hAnsi="Times New Roman" w:eastAsia="方正小标宋_GBK"/>
          <w:color w:val="000000"/>
          <w:sz w:val="18"/>
          <w:szCs w:val="18"/>
        </w:rPr>
        <w:fldChar w:fldCharType="separate"/>
      </w:r>
      <w:r>
        <w:rPr>
          <w:rFonts w:ascii="Times New Roman" w:hAnsi="Times New Roman" w:eastAsia="黑体"/>
          <w:sz w:val="18"/>
          <w:szCs w:val="18"/>
          <w:lang w:val="en-GB"/>
        </w:rPr>
        <w:t>二、公路领域</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_Toc4649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_Toc127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（一）</w:t>
      </w:r>
      <w:r>
        <w:rPr>
          <w:rFonts w:ascii="Times New Roman" w:hAnsi="Times New Roman" w:eastAsia="楷体"/>
          <w:color w:val="000000"/>
          <w:sz w:val="18"/>
          <w:szCs w:val="18"/>
          <w:lang w:val="en-GB"/>
        </w:rPr>
        <w:t>高速公路</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_Toc127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_Toc18619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（二）普通国道</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_Toc18619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_Toc24573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（三）普通省道</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_Toc24573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_Toc3401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（四）农村公路</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_Toc3401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_Toc9049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（五）乡村旅游公路</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_Toc9049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_Toc25021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lang w:val="en-GB"/>
        </w:rPr>
        <w:t>三、综合交通枢纽</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_Toc25021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_Toc21894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lang w:val="en-GB"/>
        </w:rPr>
        <w:t>四、城市停车场</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_Toc21894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1"/>
        <w:tabs>
          <w:tab w:val="right" w:leader="dot" w:pos="8504"/>
        </w:tabs>
        <w:spacing w:line="240" w:lineRule="exact"/>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_Toc6979 </w:instrText>
      </w:r>
      <w:r>
        <w:rPr>
          <w:rFonts w:ascii="Times New Roman" w:hAnsi="Times New Roman" w:eastAsia="方正小标宋_GBK"/>
          <w:color w:val="000000"/>
          <w:sz w:val="18"/>
          <w:szCs w:val="18"/>
        </w:rPr>
        <w:fldChar w:fldCharType="separate"/>
      </w:r>
      <w:r>
        <w:rPr>
          <w:rFonts w:ascii="Times New Roman" w:hAnsi="Times New Roman" w:eastAsia="方正小标宋_GBK"/>
          <w:color w:val="000000"/>
          <w:sz w:val="18"/>
          <w:szCs w:val="18"/>
        </w:rPr>
        <w:t>第十部分  农林水利基础设施</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_Toc6979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_Toc7412 </w:instrText>
      </w:r>
      <w:r>
        <w:rPr>
          <w:rFonts w:ascii="Times New Roman" w:hAnsi="Times New Roman" w:eastAsia="方正小标宋_GBK"/>
          <w:color w:val="000000"/>
          <w:sz w:val="18"/>
          <w:szCs w:val="18"/>
        </w:rPr>
        <w:fldChar w:fldCharType="separate"/>
      </w:r>
      <w:r>
        <w:rPr>
          <w:rFonts w:ascii="Times New Roman" w:hAnsi="Times New Roman"/>
          <w:color w:val="000000"/>
          <w:sz w:val="18"/>
          <w:szCs w:val="18"/>
          <w:lang w:val="en-GB" w:eastAsia="en-US"/>
        </w:rPr>
        <w:t>一</w:t>
      </w:r>
      <w:r>
        <w:rPr>
          <w:rFonts w:ascii="Times New Roman" w:hAnsi="Times New Roman" w:eastAsia="黑体"/>
          <w:sz w:val="18"/>
          <w:szCs w:val="18"/>
        </w:rPr>
        <w:t>、 农业农村领域</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_Toc7412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黑体"/>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_Toc15510 </w:instrText>
      </w:r>
      <w:r>
        <w:rPr>
          <w:rFonts w:ascii="Times New Roman" w:hAnsi="Times New Roman" w:eastAsia="方正小标宋_GBK"/>
          <w:color w:val="000000"/>
          <w:sz w:val="18"/>
          <w:szCs w:val="18"/>
        </w:rPr>
        <w:fldChar w:fldCharType="separate"/>
      </w:r>
      <w:r>
        <w:rPr>
          <w:rFonts w:ascii="Times New Roman" w:hAnsi="Times New Roman" w:eastAsia="楷体"/>
          <w:sz w:val="18"/>
          <w:szCs w:val="18"/>
        </w:rPr>
        <w:t>（一）农业生产</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_Toc15510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_Toc22334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高标准农田建设项目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_Toc22334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_Toc9101 </w:instrText>
      </w:r>
      <w:r>
        <w:rPr>
          <w:rFonts w:ascii="Times New Roman" w:hAnsi="Times New Roman" w:eastAsia="方正小标宋_GBK"/>
          <w:color w:val="000000"/>
          <w:sz w:val="18"/>
          <w:szCs w:val="18"/>
        </w:rPr>
        <w:fldChar w:fldCharType="separate"/>
      </w:r>
      <w:r>
        <w:rPr>
          <w:rFonts w:ascii="Times New Roman" w:hAnsi="Times New Roman" w:eastAsia="楷体"/>
          <w:sz w:val="18"/>
          <w:szCs w:val="18"/>
        </w:rPr>
        <w:t>（二）农业可持续发展</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_Toc9101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_Toc3835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1.畜禽粪污资源化利用整县推进项目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_Toc3835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_Toc1361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2.生猪规模化养殖场建设补助项目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_Toc1361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_Toc15355 </w:instrText>
      </w:r>
      <w:r>
        <w:rPr>
          <w:rFonts w:ascii="Times New Roman" w:hAnsi="Times New Roman" w:eastAsia="方正小标宋_GBK"/>
          <w:color w:val="000000"/>
          <w:sz w:val="18"/>
          <w:szCs w:val="18"/>
        </w:rPr>
        <w:fldChar w:fldCharType="separate"/>
      </w:r>
      <w:r>
        <w:rPr>
          <w:rFonts w:ascii="Times New Roman" w:hAnsi="Times New Roman" w:eastAsia="楷体"/>
          <w:sz w:val="18"/>
          <w:szCs w:val="18"/>
        </w:rPr>
        <w:t>（三）</w:t>
      </w:r>
      <w:r>
        <w:rPr>
          <w:rFonts w:ascii="Times New Roman" w:hAnsi="Times New Roman" w:eastAsia="楷体"/>
          <w:sz w:val="18"/>
          <w:szCs w:val="18"/>
          <w:lang w:val="en-GB" w:eastAsia="en-US"/>
        </w:rPr>
        <w:t>现代农业支撑体系</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_Toc15355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_Toc5379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1.现代种业提升工程项目（农作物种子类）</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_Toc5379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_Toc1608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2.现代种业提升工程项目（畜禽良种类）</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_Toc1608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_Toc8976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3.现代种业提升工程项目（水产良种类）</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_Toc8976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_Toc2530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4.动植物保护能力提升工程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_Toc2530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_Toc12571 </w:instrText>
      </w:r>
      <w:r>
        <w:rPr>
          <w:rFonts w:ascii="Times New Roman" w:hAnsi="Times New Roman" w:eastAsia="方正小标宋_GBK"/>
          <w:color w:val="000000"/>
          <w:sz w:val="18"/>
          <w:szCs w:val="18"/>
        </w:rPr>
        <w:fldChar w:fldCharType="separate"/>
      </w:r>
      <w:r>
        <w:rPr>
          <w:rFonts w:ascii="Times New Roman" w:hAnsi="Times New Roman" w:eastAsia="楷体"/>
          <w:sz w:val="18"/>
          <w:szCs w:val="18"/>
          <w:lang w:val="en-GB"/>
        </w:rPr>
        <w:t>（四）农村人居环境整治工程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_Toc12571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_Toc11988 </w:instrText>
      </w:r>
      <w:r>
        <w:rPr>
          <w:rFonts w:ascii="Times New Roman" w:hAnsi="Times New Roman" w:eastAsia="方正小标宋_GBK"/>
          <w:color w:val="000000"/>
          <w:sz w:val="18"/>
          <w:szCs w:val="18"/>
        </w:rPr>
        <w:fldChar w:fldCharType="separate"/>
      </w:r>
      <w:r>
        <w:rPr>
          <w:rFonts w:ascii="Times New Roman" w:hAnsi="Times New Roman" w:eastAsia="楷体"/>
          <w:sz w:val="18"/>
          <w:szCs w:val="18"/>
          <w:lang w:val="en-GB"/>
        </w:rPr>
        <w:t>（五）</w:t>
      </w:r>
      <w:r>
        <w:rPr>
          <w:rFonts w:ascii="Times New Roman" w:hAnsi="Times New Roman" w:eastAsia="楷体"/>
          <w:sz w:val="18"/>
          <w:szCs w:val="18"/>
        </w:rPr>
        <w:t>以工代赈项目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_Toc11988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_Toc2094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lang w:val="en-GB"/>
        </w:rPr>
        <w:t>二、林业和草原</w:t>
      </w:r>
      <w:r>
        <w:rPr>
          <w:rFonts w:ascii="Times New Roman" w:hAnsi="Times New Roman" w:eastAsia="黑体"/>
          <w:color w:val="000000"/>
          <w:sz w:val="18"/>
          <w:szCs w:val="18"/>
          <w:lang w:val="en-GB" w:eastAsia="en-US"/>
        </w:rPr>
        <w:t>建设</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_Toc2094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_Toc15998 </w:instrText>
      </w:r>
      <w:r>
        <w:rPr>
          <w:rFonts w:ascii="Times New Roman" w:hAnsi="Times New Roman" w:eastAsia="方正小标宋_GBK"/>
          <w:color w:val="000000"/>
          <w:sz w:val="18"/>
          <w:szCs w:val="18"/>
        </w:rPr>
        <w:fldChar w:fldCharType="separate"/>
      </w:r>
      <w:r>
        <w:rPr>
          <w:rFonts w:ascii="Times New Roman" w:hAnsi="Times New Roman" w:eastAsia="楷体"/>
          <w:sz w:val="18"/>
          <w:szCs w:val="18"/>
        </w:rPr>
        <w:t>（一）森林资源培育</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_Toc15998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_Toc26276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三北防护林工程、天然林资源保护工程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_Toc26276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_Toc12848 </w:instrText>
      </w:r>
      <w:r>
        <w:rPr>
          <w:rFonts w:ascii="Times New Roman" w:hAnsi="Times New Roman" w:eastAsia="方正小标宋_GBK"/>
          <w:color w:val="000000"/>
          <w:sz w:val="18"/>
          <w:szCs w:val="18"/>
        </w:rPr>
        <w:fldChar w:fldCharType="separate"/>
      </w:r>
      <w:r>
        <w:rPr>
          <w:rFonts w:ascii="Times New Roman" w:hAnsi="Times New Roman" w:eastAsia="楷体"/>
          <w:sz w:val="18"/>
          <w:szCs w:val="18"/>
        </w:rPr>
        <w:t>（二）退耕还林还草工程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_Toc12848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_Toc12945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（三）退牧还草工程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_Toc12945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_Toc30563 </w:instrText>
      </w:r>
      <w:r>
        <w:rPr>
          <w:rFonts w:ascii="Times New Roman" w:hAnsi="Times New Roman" w:eastAsia="方正小标宋_GBK"/>
          <w:color w:val="000000"/>
          <w:sz w:val="18"/>
          <w:szCs w:val="18"/>
        </w:rPr>
        <w:fldChar w:fldCharType="separate"/>
      </w:r>
      <w:r>
        <w:rPr>
          <w:rFonts w:ascii="Times New Roman" w:hAnsi="Times New Roman" w:eastAsia="黑体"/>
          <w:sz w:val="18"/>
          <w:szCs w:val="18"/>
        </w:rPr>
        <w:t>三、水利领域</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_Toc30563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_Toc21376 </w:instrText>
      </w:r>
      <w:r>
        <w:rPr>
          <w:rFonts w:ascii="Times New Roman" w:hAnsi="Times New Roman" w:eastAsia="方正小标宋_GBK"/>
          <w:color w:val="000000"/>
          <w:sz w:val="18"/>
          <w:szCs w:val="18"/>
        </w:rPr>
        <w:fldChar w:fldCharType="separate"/>
      </w:r>
      <w:r>
        <w:rPr>
          <w:rFonts w:ascii="Times New Roman" w:hAnsi="Times New Roman" w:eastAsia="楷体"/>
          <w:sz w:val="18"/>
          <w:szCs w:val="18"/>
        </w:rPr>
        <w:t>（一）重大水利工程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_Toc21376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_Toc2591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1.大中型灌区续建配套节水改造工程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_Toc2591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_Toc25933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2.重大引调水工程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_Toc25933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_Toc30420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3.江河湖泊防洪治理工程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_Toc30420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_Toc14459 </w:instrText>
      </w:r>
      <w:r>
        <w:rPr>
          <w:rFonts w:ascii="Times New Roman" w:hAnsi="Times New Roman" w:eastAsia="方正小标宋_GBK"/>
          <w:color w:val="000000"/>
          <w:sz w:val="18"/>
          <w:szCs w:val="18"/>
        </w:rPr>
        <w:fldChar w:fldCharType="separate"/>
      </w:r>
      <w:r>
        <w:rPr>
          <w:rFonts w:ascii="Times New Roman" w:hAnsi="Times New Roman" w:eastAsia="楷体"/>
          <w:sz w:val="18"/>
          <w:szCs w:val="18"/>
        </w:rPr>
        <w:t>（二）水生态治理、中小河流治理等其他水利工程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_Toc14459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_Toc12928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1.水生态修复与治理工程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_Toc12928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_Toc25204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2.流域面积3000平方公里以上中小河流治理工程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_Toc25204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_Toc10177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3.大中型病险水库（闸）除险加固工程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_Toc10177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_Toc2764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4.大型灌排泵站更新改造工程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_Toc2764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_Toc29062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5.坡耕地水土流失综合治理工程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_Toc29062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_Toc21438 </w:instrText>
      </w:r>
      <w:r>
        <w:rPr>
          <w:rFonts w:ascii="Times New Roman" w:hAnsi="Times New Roman" w:eastAsia="方正小标宋_GBK"/>
          <w:color w:val="000000"/>
          <w:sz w:val="18"/>
          <w:szCs w:val="18"/>
        </w:rPr>
        <w:fldChar w:fldCharType="separate"/>
      </w:r>
      <w:r>
        <w:rPr>
          <w:rFonts w:ascii="Times New Roman" w:hAnsi="Times New Roman" w:eastAsia="仿宋_GB2312"/>
          <w:bCs/>
          <w:sz w:val="18"/>
          <w:szCs w:val="18"/>
        </w:rPr>
        <w:t>6.中型水库工程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_Toc21438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_Toc22548 </w:instrText>
      </w:r>
      <w:r>
        <w:rPr>
          <w:rFonts w:ascii="Times New Roman" w:hAnsi="Times New Roman" w:eastAsia="方正小标宋_GBK"/>
          <w:color w:val="000000"/>
          <w:sz w:val="18"/>
          <w:szCs w:val="18"/>
        </w:rPr>
        <w:fldChar w:fldCharType="separate"/>
      </w:r>
      <w:r>
        <w:rPr>
          <w:rFonts w:ascii="Times New Roman" w:hAnsi="Times New Roman" w:eastAsia="楷体"/>
          <w:sz w:val="18"/>
          <w:szCs w:val="18"/>
        </w:rPr>
        <w:t>（三）农村饮水安全巩固提升工程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_Toc22548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1"/>
        <w:tabs>
          <w:tab w:val="right" w:leader="dot" w:pos="8504"/>
        </w:tabs>
        <w:spacing w:line="240" w:lineRule="exact"/>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_Toc16261 </w:instrText>
      </w:r>
      <w:r>
        <w:rPr>
          <w:rFonts w:ascii="Times New Roman" w:hAnsi="Times New Roman" w:eastAsia="方正小标宋_GBK"/>
          <w:color w:val="000000"/>
          <w:sz w:val="18"/>
          <w:szCs w:val="18"/>
        </w:rPr>
        <w:fldChar w:fldCharType="separate"/>
      </w:r>
      <w:r>
        <w:rPr>
          <w:rFonts w:ascii="Times New Roman" w:hAnsi="Times New Roman" w:eastAsia="方正小标宋_GBK"/>
          <w:color w:val="000000"/>
          <w:sz w:val="18"/>
          <w:szCs w:val="18"/>
        </w:rPr>
        <w:t xml:space="preserve">第十一部分  </w:t>
      </w:r>
      <w:r>
        <w:rPr>
          <w:rFonts w:ascii="Times New Roman" w:hAnsi="Times New Roman" w:eastAsia="方正小标宋_GBK"/>
          <w:sz w:val="18"/>
          <w:szCs w:val="18"/>
        </w:rPr>
        <w:t>社会民生</w:t>
      </w:r>
      <w:r>
        <w:rPr>
          <w:rFonts w:hint="eastAsia" w:ascii="Times New Roman" w:hAnsi="Times New Roman" w:eastAsia="方正小标宋_GBK"/>
          <w:sz w:val="18"/>
          <w:szCs w:val="18"/>
        </w:rPr>
        <w:t>公共服务</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_Toc16261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_Toc2949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一、教育领域</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_Toc2949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_Toc12010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（一）义务教育学校建设项目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_Toc12010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_Toc24863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（二）艰苦地区农村学校教师周转宿舍建设项目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_Toc24863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_Toc8618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（三）教育基础薄弱县普通高中建设项目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_Toc8618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_Toc18041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rPr>
        <w:t>（四）公共实训基地建设项目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_Toc18041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_Toc8424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二、医疗卫生领域</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_Toc8424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_Toc630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（一）县域医疗卫生服务能力提升工程项目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_Toc630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_Toc26858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rPr>
        <w:t>（二）妇幼健康服务体系建设工程项目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_Toc26858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_Toc15144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rPr>
        <w:t>（三）公共卫生服务体系建设工程项目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_Toc15144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_Toc32466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rPr>
        <w:t>（四）优质医疗资源均衡发展工程项目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_Toc32466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_Toc25365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三、文化体育</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_Toc25365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_Toc19768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rPr>
        <w:t>（一）黄河文化保护传承弘扬项目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_Toc19768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_Toc7164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rPr>
        <w:t>（二）长城、长征国家文化公园建设项目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_Toc7164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_Toc21081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rPr>
        <w:t>（三）广播电视</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_Toc21081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_Toc21755 </w:instrText>
      </w:r>
      <w:r>
        <w:rPr>
          <w:rFonts w:ascii="Times New Roman" w:hAnsi="Times New Roman" w:eastAsia="方正小标宋_GBK"/>
          <w:color w:val="000000"/>
          <w:sz w:val="18"/>
          <w:szCs w:val="18"/>
        </w:rPr>
        <w:fldChar w:fldCharType="separate"/>
      </w:r>
      <w:r>
        <w:rPr>
          <w:rFonts w:ascii="Times New Roman" w:hAnsi="Times New Roman" w:eastAsia="仿宋_GB2312"/>
          <w:color w:val="000000"/>
          <w:sz w:val="18"/>
          <w:szCs w:val="18"/>
        </w:rPr>
        <w:t>1.县级广播电视播出机构制播能力建设项目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_Toc21755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_Toc12051 </w:instrText>
      </w:r>
      <w:r>
        <w:rPr>
          <w:rFonts w:ascii="Times New Roman" w:hAnsi="Times New Roman" w:eastAsia="方正小标宋_GBK"/>
          <w:color w:val="000000"/>
          <w:sz w:val="18"/>
          <w:szCs w:val="18"/>
        </w:rPr>
        <w:fldChar w:fldCharType="separate"/>
      </w:r>
      <w:r>
        <w:rPr>
          <w:rFonts w:ascii="Times New Roman" w:hAnsi="Times New Roman" w:eastAsia="仿宋_GB2312"/>
          <w:color w:val="000000"/>
          <w:sz w:val="18"/>
          <w:szCs w:val="18"/>
        </w:rPr>
        <w:t>2.广播电视无线发射台站基础设施二期建设项目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_Toc12051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_Toc32053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rPr>
        <w:t>（四）全民健身提升工程项目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_Toc32053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_Toc20991 </w:instrText>
      </w:r>
      <w:r>
        <w:rPr>
          <w:rFonts w:ascii="Times New Roman" w:hAnsi="Times New Roman" w:eastAsia="方正小标宋_GBK"/>
          <w:color w:val="000000"/>
          <w:sz w:val="18"/>
          <w:szCs w:val="18"/>
        </w:rPr>
        <w:fldChar w:fldCharType="separate"/>
      </w:r>
      <w:r>
        <w:rPr>
          <w:rFonts w:ascii="Times New Roman" w:hAnsi="Times New Roman" w:eastAsia="黑体"/>
          <w:sz w:val="18"/>
          <w:szCs w:val="18"/>
        </w:rPr>
        <w:t>四、社会保障领域</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_Toc20991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_Toc22719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rPr>
        <w:t>（一）基本养老服务体系建设工程项目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_Toc22719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_Toc11544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rPr>
        <w:t>（二）社会福利服务体系项目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_Toc11544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_Toc20084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rPr>
        <w:t>（三）残疾人服务体系项目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_Toc20084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_Toc18073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rPr>
        <w:t>（四）退役军人保障体系项目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_Toc18073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_Toc25386 </w:instrText>
      </w:r>
      <w:r>
        <w:rPr>
          <w:rFonts w:ascii="Times New Roman" w:hAnsi="Times New Roman" w:eastAsia="方正小标宋_GBK"/>
          <w:color w:val="000000"/>
          <w:sz w:val="18"/>
          <w:szCs w:val="18"/>
        </w:rPr>
        <w:fldChar w:fldCharType="separate"/>
      </w:r>
      <w:r>
        <w:rPr>
          <w:rFonts w:ascii="Times New Roman" w:hAnsi="Times New Roman" w:eastAsia="黑体"/>
          <w:sz w:val="18"/>
          <w:szCs w:val="18"/>
        </w:rPr>
        <w:t>五、普惠养老托幼</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_Toc25386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_Toc29031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rPr>
        <w:t>（一）城企联动普惠养老专项行动项目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_Toc29031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_Toc530 </w:instrText>
      </w:r>
      <w:r>
        <w:rPr>
          <w:rFonts w:ascii="Times New Roman" w:hAnsi="Times New Roman" w:eastAsia="方正小标宋_GBK"/>
          <w:color w:val="000000"/>
          <w:sz w:val="18"/>
          <w:szCs w:val="18"/>
        </w:rPr>
        <w:fldChar w:fldCharType="separate"/>
      </w:r>
      <w:r>
        <w:rPr>
          <w:rFonts w:ascii="Times New Roman" w:hAnsi="Times New Roman" w:eastAsia="楷体"/>
          <w:color w:val="000000"/>
          <w:kern w:val="0"/>
          <w:sz w:val="18"/>
          <w:szCs w:val="18"/>
        </w:rPr>
        <w:t>（二）普惠托育专项行动项目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_Toc530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1"/>
        <w:tabs>
          <w:tab w:val="right" w:leader="dot" w:pos="8504"/>
        </w:tabs>
        <w:spacing w:line="240" w:lineRule="exact"/>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_Toc10337 </w:instrText>
      </w:r>
      <w:r>
        <w:rPr>
          <w:rFonts w:ascii="Times New Roman" w:hAnsi="Times New Roman" w:eastAsia="方正小标宋_GBK"/>
          <w:color w:val="000000"/>
          <w:sz w:val="18"/>
          <w:szCs w:val="18"/>
        </w:rPr>
        <w:fldChar w:fldCharType="separate"/>
      </w:r>
      <w:r>
        <w:rPr>
          <w:rFonts w:ascii="Times New Roman" w:hAnsi="Times New Roman" w:eastAsia="方正小标宋_GBK"/>
          <w:color w:val="000000"/>
          <w:sz w:val="18"/>
          <w:szCs w:val="18"/>
        </w:rPr>
        <w:t>第十二部分  城市基础设施</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_Toc10337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_Toc19762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一、城镇老旧小区改造项目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_Toc19762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_Toc30065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二、城市排水防涝设施建设项目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_Toc30065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_Toc24265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三、城市集中供水项目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_Toc24265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_Toc18932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四、海绵城市建设项目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_Toc18932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_Toc27278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五、城市集中供热项目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_Toc27278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_Toc7010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六、城市道路建设项目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_Toc7010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_Toc26154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七、城市历史文化街区改造保护项目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_Toc26154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_Toc28275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八、城市步行街改造项目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_Toc28275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_Toc23146 </w:instrText>
      </w:r>
      <w:r>
        <w:rPr>
          <w:rFonts w:ascii="Times New Roman" w:hAnsi="Times New Roman" w:eastAsia="方正小标宋_GBK"/>
          <w:color w:val="000000"/>
          <w:sz w:val="18"/>
          <w:szCs w:val="18"/>
        </w:rPr>
        <w:fldChar w:fldCharType="separate"/>
      </w:r>
      <w:r>
        <w:rPr>
          <w:rFonts w:ascii="Times New Roman" w:hAnsi="Times New Roman" w:eastAsia="黑体"/>
          <w:sz w:val="18"/>
          <w:szCs w:val="18"/>
        </w:rPr>
        <w:t>九、城市公共供水管网漏损控制储备项目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_Toc23146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_Toc3074 </w:instrText>
      </w:r>
      <w:r>
        <w:rPr>
          <w:rFonts w:ascii="Times New Roman" w:hAnsi="Times New Roman" w:eastAsia="方正小标宋_GBK"/>
          <w:color w:val="000000"/>
          <w:sz w:val="18"/>
          <w:szCs w:val="18"/>
        </w:rPr>
        <w:fldChar w:fldCharType="separate"/>
      </w:r>
      <w:r>
        <w:rPr>
          <w:rFonts w:ascii="Times New Roman" w:hAnsi="Times New Roman" w:eastAsia="黑体"/>
          <w:sz w:val="18"/>
          <w:szCs w:val="18"/>
        </w:rPr>
        <w:t>十、城市公园、绿地（应急避难场所建设）项目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_Toc3074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1"/>
        <w:tabs>
          <w:tab w:val="right" w:leader="dot" w:pos="8504"/>
        </w:tabs>
        <w:spacing w:line="240" w:lineRule="exact"/>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_Toc19181 </w:instrText>
      </w:r>
      <w:r>
        <w:rPr>
          <w:rFonts w:ascii="Times New Roman" w:hAnsi="Times New Roman" w:eastAsia="方正小标宋_GBK"/>
          <w:color w:val="000000"/>
          <w:sz w:val="18"/>
          <w:szCs w:val="18"/>
        </w:rPr>
        <w:fldChar w:fldCharType="separate"/>
      </w:r>
      <w:r>
        <w:rPr>
          <w:rFonts w:ascii="Times New Roman" w:hAnsi="Times New Roman" w:eastAsia="方正小标宋_GBK"/>
          <w:sz w:val="18"/>
          <w:szCs w:val="18"/>
          <w:shd w:val="clear" w:color="auto" w:fill="FFFFFF"/>
          <w:lang w:val="en-GB"/>
        </w:rPr>
        <w:t>第十三部分</w:t>
      </w:r>
      <w:r>
        <w:rPr>
          <w:rFonts w:ascii="Times New Roman" w:hAnsi="Times New Roman" w:eastAsia="方正小标宋_GBK"/>
          <w:sz w:val="18"/>
          <w:szCs w:val="18"/>
          <w:shd w:val="clear" w:color="auto" w:fill="FFFFFF"/>
        </w:rPr>
        <w:t xml:space="preserve">  生态环保</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_Toc19181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_Toc13958 </w:instrText>
      </w:r>
      <w:r>
        <w:rPr>
          <w:rFonts w:ascii="Times New Roman" w:hAnsi="Times New Roman" w:eastAsia="方正小标宋_GBK"/>
          <w:color w:val="000000"/>
          <w:sz w:val="18"/>
          <w:szCs w:val="18"/>
        </w:rPr>
        <w:fldChar w:fldCharType="separate"/>
      </w:r>
      <w:r>
        <w:rPr>
          <w:rFonts w:ascii="Times New Roman" w:hAnsi="Times New Roman" w:eastAsia="黑体"/>
          <w:sz w:val="18"/>
          <w:szCs w:val="18"/>
        </w:rPr>
        <w:t>一、环境污染治理重点工程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_Toc13958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_Toc20575 </w:instrText>
      </w:r>
      <w:r>
        <w:rPr>
          <w:rFonts w:ascii="Times New Roman" w:hAnsi="Times New Roman" w:eastAsia="方正小标宋_GBK"/>
          <w:color w:val="000000"/>
          <w:sz w:val="18"/>
          <w:szCs w:val="18"/>
        </w:rPr>
        <w:fldChar w:fldCharType="separate"/>
      </w:r>
      <w:r>
        <w:rPr>
          <w:rFonts w:ascii="Times New Roman" w:hAnsi="Times New Roman" w:eastAsia="楷体"/>
          <w:sz w:val="18"/>
          <w:szCs w:val="18"/>
        </w:rPr>
        <w:t>（一）城镇生活污水处理提质增效、集污管网建设项目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_Toc20575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_Toc11225 </w:instrText>
      </w:r>
      <w:r>
        <w:rPr>
          <w:rFonts w:ascii="Times New Roman" w:hAnsi="Times New Roman" w:eastAsia="方正小标宋_GBK"/>
          <w:color w:val="000000"/>
          <w:sz w:val="18"/>
          <w:szCs w:val="18"/>
        </w:rPr>
        <w:fldChar w:fldCharType="separate"/>
      </w:r>
      <w:r>
        <w:rPr>
          <w:rFonts w:ascii="Times New Roman" w:hAnsi="Times New Roman" w:eastAsia="楷体"/>
          <w:sz w:val="18"/>
          <w:szCs w:val="18"/>
        </w:rPr>
        <w:t>（二）城镇生活垃圾无害化处理设施建设、生活垃圾焚烧发电、生活垃圾收集转运项目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_Toc11225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_Toc8582 </w:instrText>
      </w:r>
      <w:r>
        <w:rPr>
          <w:rFonts w:ascii="Times New Roman" w:hAnsi="Times New Roman" w:eastAsia="方正小标宋_GBK"/>
          <w:color w:val="000000"/>
          <w:sz w:val="18"/>
          <w:szCs w:val="18"/>
        </w:rPr>
        <w:fldChar w:fldCharType="separate"/>
      </w:r>
      <w:r>
        <w:rPr>
          <w:rFonts w:ascii="Times New Roman" w:hAnsi="Times New Roman" w:eastAsia="楷体"/>
          <w:sz w:val="18"/>
          <w:szCs w:val="18"/>
        </w:rPr>
        <w:t>（三）餐厨废弃物资源化综合利用处置项目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_Toc8582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_Toc24224 </w:instrText>
      </w:r>
      <w:r>
        <w:rPr>
          <w:rFonts w:ascii="Times New Roman" w:hAnsi="Times New Roman" w:eastAsia="方正小标宋_GBK"/>
          <w:color w:val="000000"/>
          <w:sz w:val="18"/>
          <w:szCs w:val="18"/>
        </w:rPr>
        <w:fldChar w:fldCharType="separate"/>
      </w:r>
      <w:r>
        <w:rPr>
          <w:rFonts w:ascii="Times New Roman" w:hAnsi="Times New Roman" w:eastAsia="楷体"/>
          <w:sz w:val="18"/>
          <w:szCs w:val="18"/>
        </w:rPr>
        <w:t>（四）城镇污水处理厂污泥资源化利用项目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_Toc24224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_Toc27042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二、重点流域水环境综合治理工程</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_Toc27042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1"/>
        <w:tabs>
          <w:tab w:val="right" w:leader="dot" w:pos="8504"/>
        </w:tabs>
        <w:spacing w:line="240" w:lineRule="exact"/>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_Toc27543 </w:instrText>
      </w:r>
      <w:r>
        <w:rPr>
          <w:rFonts w:ascii="Times New Roman" w:hAnsi="Times New Roman" w:eastAsia="方正小标宋_GBK"/>
          <w:color w:val="000000"/>
          <w:sz w:val="18"/>
          <w:szCs w:val="18"/>
        </w:rPr>
        <w:fldChar w:fldCharType="separate"/>
      </w:r>
      <w:r>
        <w:rPr>
          <w:rFonts w:ascii="Times New Roman" w:hAnsi="Times New Roman" w:eastAsia="方正小标宋_GBK"/>
          <w:color w:val="000000"/>
          <w:sz w:val="18"/>
          <w:szCs w:val="18"/>
        </w:rPr>
        <w:t>第十四部分  政法基础设施</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_Toc27543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_Toc32505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一、公安系统</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_Toc32505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_Toc12933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（一）新建乡镇派出所及老旧派出所改扩建项目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_Toc12933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_Toc25212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lang w:val="en-GB"/>
        </w:rPr>
        <w:t>（二）</w:t>
      </w:r>
      <w:r>
        <w:rPr>
          <w:rFonts w:ascii="Times New Roman" w:hAnsi="Times New Roman" w:eastAsia="楷体"/>
          <w:color w:val="000000"/>
          <w:sz w:val="18"/>
          <w:szCs w:val="18"/>
          <w:shd w:val="clear" w:color="auto" w:fill="FFFFFF"/>
          <w:lang w:val="en-GB" w:eastAsia="en-US"/>
        </w:rPr>
        <w:t>公安机关业务技术用房</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_Toc25212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_Toc30643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（三）交警基层业务用房及配套设施建设项目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_Toc30643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_Toc31214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二、法院系统</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_Toc31214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_Toc23050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县区人民法院审判法庭及派出人民法庭</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_Toc23050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_Toc16378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三、司法系统</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_Toc16378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_Toc2897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乡镇司法所建设项目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_Toc2897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1"/>
        <w:tabs>
          <w:tab w:val="right" w:leader="dot" w:pos="8504"/>
        </w:tabs>
        <w:spacing w:line="240" w:lineRule="exact"/>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_Toc16904 </w:instrText>
      </w:r>
      <w:r>
        <w:rPr>
          <w:rFonts w:ascii="Times New Roman" w:hAnsi="Times New Roman" w:eastAsia="方正小标宋_GBK"/>
          <w:color w:val="000000"/>
          <w:sz w:val="18"/>
          <w:szCs w:val="18"/>
        </w:rPr>
        <w:fldChar w:fldCharType="separate"/>
      </w:r>
      <w:r>
        <w:rPr>
          <w:rFonts w:ascii="Times New Roman" w:hAnsi="Times New Roman" w:eastAsia="方正小标宋_GBK"/>
          <w:color w:val="000000"/>
          <w:sz w:val="18"/>
          <w:szCs w:val="18"/>
        </w:rPr>
        <w:t>第十五部分  应急救援能力建设</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_Toc16904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_Toc25372 </w:instrText>
      </w:r>
      <w:r>
        <w:rPr>
          <w:rFonts w:ascii="Times New Roman" w:hAnsi="Times New Roman" w:eastAsia="方正小标宋_GBK"/>
          <w:color w:val="000000"/>
          <w:sz w:val="18"/>
          <w:szCs w:val="18"/>
        </w:rPr>
        <w:fldChar w:fldCharType="separate"/>
      </w:r>
      <w:r>
        <w:rPr>
          <w:rFonts w:ascii="Times New Roman" w:hAnsi="Times New Roman" w:eastAsia="黑体"/>
          <w:color w:val="000000"/>
          <w:sz w:val="18"/>
          <w:szCs w:val="18"/>
        </w:rPr>
        <w:t>一、应急能力建设</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_Toc25372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_Toc16869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（一）综合防灾减灾能力建设项目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_Toc16869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_Toc27241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（二）森林草原火灾救援能力建设项目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_Toc27241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_Toc16755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（三）应急避难场所和网格化队伍建设项目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_Toc16755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_Toc11524 </w:instrText>
      </w:r>
      <w:r>
        <w:rPr>
          <w:rFonts w:ascii="Times New Roman" w:hAnsi="Times New Roman" w:eastAsia="方正小标宋_GBK"/>
          <w:color w:val="000000"/>
          <w:sz w:val="18"/>
          <w:szCs w:val="18"/>
        </w:rPr>
        <w:fldChar w:fldCharType="separate"/>
      </w:r>
      <w:r>
        <w:rPr>
          <w:rFonts w:ascii="Times New Roman" w:hAnsi="Times New Roman"/>
          <w:color w:val="000000"/>
          <w:sz w:val="18"/>
          <w:szCs w:val="18"/>
          <w:lang w:val="en-GB" w:eastAsia="en-US"/>
        </w:rPr>
        <w:t>二</w:t>
      </w:r>
      <w:r>
        <w:rPr>
          <w:rFonts w:ascii="Times New Roman" w:hAnsi="Times New Roman" w:eastAsia="黑体"/>
          <w:color w:val="000000"/>
          <w:sz w:val="18"/>
          <w:szCs w:val="18"/>
        </w:rPr>
        <w:t>、 消防应急能力</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_Toc11524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黑体"/>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_Toc12532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（一）城市消防站建设项目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_Toc12532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_Toc18214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（二）战勤保障基地建设项目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_Toc18214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7"/>
        <w:tabs>
          <w:tab w:val="right" w:leader="dot" w:pos="8504"/>
        </w:tabs>
        <w:spacing w:line="240" w:lineRule="exact"/>
        <w:ind w:left="128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_Toc31932 </w:instrText>
      </w:r>
      <w:r>
        <w:rPr>
          <w:rFonts w:ascii="Times New Roman" w:hAnsi="Times New Roman" w:eastAsia="方正小标宋_GBK"/>
          <w:color w:val="000000"/>
          <w:sz w:val="18"/>
          <w:szCs w:val="18"/>
        </w:rPr>
        <w:fldChar w:fldCharType="separate"/>
      </w:r>
      <w:r>
        <w:rPr>
          <w:rFonts w:ascii="Times New Roman" w:hAnsi="Times New Roman" w:eastAsia="楷体"/>
          <w:color w:val="000000"/>
          <w:sz w:val="18"/>
          <w:szCs w:val="18"/>
        </w:rPr>
        <w:t>（三）支队级训练基地建设项目</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_Toc31932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13"/>
        <w:tabs>
          <w:tab w:val="right" w:leader="dot" w:pos="8504"/>
        </w:tabs>
        <w:spacing w:line="240" w:lineRule="exact"/>
        <w:ind w:left="640"/>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_Toc6377 </w:instrText>
      </w:r>
      <w:r>
        <w:rPr>
          <w:rFonts w:ascii="Times New Roman" w:hAnsi="Times New Roman" w:eastAsia="方正小标宋_GBK"/>
          <w:color w:val="000000"/>
          <w:sz w:val="18"/>
          <w:szCs w:val="18"/>
        </w:rPr>
        <w:fldChar w:fldCharType="separate"/>
      </w:r>
      <w:r>
        <w:rPr>
          <w:rFonts w:ascii="Times New Roman" w:hAnsi="Times New Roman"/>
          <w:color w:val="000000"/>
          <w:sz w:val="18"/>
          <w:szCs w:val="18"/>
          <w:lang w:val="en-GB" w:eastAsia="en-US"/>
        </w:rPr>
        <w:t>三</w:t>
      </w:r>
      <w:r>
        <w:rPr>
          <w:rFonts w:ascii="Times New Roman" w:hAnsi="Times New Roman" w:eastAsia="黑体"/>
          <w:color w:val="000000"/>
          <w:sz w:val="18"/>
          <w:szCs w:val="18"/>
        </w:rPr>
        <w:t>、 粮食安全保障调控和应急设施</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_Toc6377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黑体"/>
          <w:color w:val="000000"/>
          <w:sz w:val="18"/>
          <w:szCs w:val="18"/>
        </w:rPr>
        <w:fldChar w:fldCharType="end"/>
      </w:r>
    </w:p>
    <w:p>
      <w:pPr>
        <w:pStyle w:val="11"/>
        <w:tabs>
          <w:tab w:val="right" w:leader="dot" w:pos="8504"/>
        </w:tabs>
        <w:spacing w:line="240" w:lineRule="exact"/>
        <w:rPr>
          <w:rFonts w:ascii="Times New Roman" w:hAnsi="Times New Roman"/>
          <w:color w:val="000000"/>
          <w:sz w:val="18"/>
          <w:szCs w:val="18"/>
          <w:lang w:val="en-GB" w:eastAsia="en-US"/>
        </w:rPr>
      </w:pPr>
      <w:r>
        <w:rPr>
          <w:rFonts w:ascii="Times New Roman" w:hAnsi="Times New Roman" w:eastAsia="方正小标宋_GBK"/>
          <w:color w:val="000000"/>
          <w:sz w:val="18"/>
          <w:szCs w:val="18"/>
        </w:rPr>
        <w:fldChar w:fldCharType="begin"/>
      </w:r>
      <w:r>
        <w:rPr>
          <w:rFonts w:ascii="Times New Roman" w:hAnsi="Times New Roman" w:eastAsia="方正小标宋_GBK"/>
          <w:color w:val="000000"/>
          <w:sz w:val="18"/>
          <w:szCs w:val="18"/>
        </w:rPr>
        <w:instrText xml:space="preserve"> HYPERLINK \l _Toc23873 </w:instrText>
      </w:r>
      <w:r>
        <w:rPr>
          <w:rFonts w:ascii="Times New Roman" w:hAnsi="Times New Roman" w:eastAsia="方正小标宋_GBK"/>
          <w:color w:val="000000"/>
          <w:sz w:val="18"/>
          <w:szCs w:val="18"/>
        </w:rPr>
        <w:fldChar w:fldCharType="separate"/>
      </w:r>
      <w:r>
        <w:rPr>
          <w:rFonts w:ascii="Times New Roman" w:hAnsi="Times New Roman" w:eastAsia="方正小标宋_GBK"/>
          <w:color w:val="000000"/>
          <w:sz w:val="18"/>
          <w:szCs w:val="18"/>
        </w:rPr>
        <w:t>第十六部分  政务信息化</w:t>
      </w:r>
      <w:r>
        <w:rPr>
          <w:rFonts w:ascii="Times New Roman" w:hAnsi="Times New Roman"/>
          <w:color w:val="000000"/>
          <w:sz w:val="18"/>
          <w:szCs w:val="18"/>
          <w:lang w:val="en-GB" w:eastAsia="en-US"/>
        </w:rPr>
        <w:tab/>
      </w:r>
      <w:r>
        <w:rPr>
          <w:rFonts w:ascii="Times New Roman" w:hAnsi="Times New Roman"/>
          <w:color w:val="000000"/>
          <w:sz w:val="18"/>
          <w:szCs w:val="18"/>
          <w:lang w:val="en-GB" w:eastAsia="en-US"/>
        </w:rPr>
        <w:fldChar w:fldCharType="begin"/>
      </w:r>
      <w:r>
        <w:rPr>
          <w:rFonts w:ascii="Times New Roman" w:hAnsi="Times New Roman"/>
          <w:color w:val="000000"/>
          <w:sz w:val="18"/>
          <w:szCs w:val="18"/>
          <w:lang w:val="en-GB" w:eastAsia="en-US"/>
        </w:rPr>
        <w:instrText xml:space="preserve"> PAGEREF _Toc23873 </w:instrText>
      </w:r>
      <w:r>
        <w:rPr>
          <w:rFonts w:ascii="Times New Roman" w:hAnsi="Times New Roman"/>
          <w:color w:val="000000"/>
          <w:sz w:val="18"/>
          <w:szCs w:val="18"/>
          <w:lang w:val="en-GB" w:eastAsia="en-US"/>
        </w:rPr>
        <w:fldChar w:fldCharType="separate"/>
      </w:r>
      <w:r>
        <w:rPr>
          <w:rFonts w:ascii="Times New Roman" w:hAnsi="Times New Roman"/>
          <w:color w:val="000000"/>
          <w:sz w:val="18"/>
          <w:szCs w:val="18"/>
          <w:lang w:val="en-GB" w:eastAsia="en-US"/>
        </w:rPr>
        <w:t>3</w:t>
      </w:r>
      <w:r>
        <w:rPr>
          <w:rFonts w:ascii="Times New Roman" w:hAnsi="Times New Roman"/>
          <w:color w:val="000000"/>
          <w:sz w:val="18"/>
          <w:szCs w:val="18"/>
          <w:lang w:val="en-GB" w:eastAsia="en-US"/>
        </w:rPr>
        <w:fldChar w:fldCharType="end"/>
      </w:r>
      <w:r>
        <w:rPr>
          <w:rFonts w:ascii="Times New Roman" w:hAnsi="Times New Roman" w:eastAsia="方正小标宋_GBK"/>
          <w:color w:val="000000"/>
          <w:sz w:val="18"/>
          <w:szCs w:val="18"/>
        </w:rPr>
        <w:fldChar w:fldCharType="end"/>
      </w:r>
    </w:p>
    <w:p>
      <w:pPr>
        <w:pStyle w:val="2"/>
        <w:widowControl w:val="0"/>
        <w:spacing w:before="0" w:after="0" w:line="240" w:lineRule="exact"/>
        <w:ind w:left="0" w:leftChars="0" w:firstLine="0" w:firstLineChars="0"/>
        <w:jc w:val="center"/>
        <w:rPr>
          <w:rFonts w:ascii="Times New Roman" w:hAnsi="Times New Roman" w:eastAsia="方正小标宋_GBK"/>
          <w:sz w:val="44"/>
          <w:szCs w:val="44"/>
          <w:lang w:val="en-US" w:eastAsia="zh-CN"/>
        </w:rPr>
        <w:sectPr>
          <w:footerReference r:id="rId7" w:type="default"/>
          <w:pgSz w:w="11906" w:h="16838"/>
          <w:pgMar w:top="1417" w:right="1701" w:bottom="1417" w:left="1701" w:header="851" w:footer="992" w:gutter="0"/>
          <w:pgNumType w:start="7"/>
          <w:cols w:space="720" w:num="1"/>
          <w:docGrid w:type="lines" w:linePitch="312" w:charSpace="0"/>
        </w:sectPr>
      </w:pPr>
      <w:r>
        <w:rPr>
          <w:rFonts w:ascii="Times New Roman" w:hAnsi="Times New Roman" w:eastAsia="方正小标宋_GBK"/>
          <w:sz w:val="18"/>
          <w:szCs w:val="18"/>
          <w:lang w:val="en-US" w:eastAsia="zh-CN"/>
        </w:rPr>
        <w:fldChar w:fldCharType="end"/>
      </w:r>
      <w:bookmarkStart w:id="1" w:name="_Toc10091"/>
      <w:bookmarkStart w:id="2" w:name="_Toc4319"/>
      <w:bookmarkStart w:id="3" w:name="_Toc11608"/>
      <w:bookmarkStart w:id="4" w:name="_Toc28442"/>
      <w:bookmarkStart w:id="5" w:name="_Toc9744"/>
      <w:bookmarkStart w:id="6" w:name="_Toc7999"/>
      <w:bookmarkStart w:id="7" w:name="_Toc31533"/>
      <w:bookmarkStart w:id="8" w:name="_Toc9099"/>
      <w:bookmarkStart w:id="9" w:name="_Toc10309"/>
    </w:p>
    <w:p>
      <w:pPr>
        <w:spacing w:line="600" w:lineRule="exact"/>
        <w:jc w:val="center"/>
        <w:outlineLvl w:val="0"/>
        <w:rPr>
          <w:b/>
          <w:bCs/>
          <w:color w:val="000000"/>
          <w:sz w:val="31"/>
          <w:szCs w:val="31"/>
        </w:rPr>
      </w:pPr>
      <w:bookmarkStart w:id="10" w:name="_Toc8610"/>
      <w:r>
        <w:rPr>
          <w:rFonts w:eastAsia="方正小标宋_GBK"/>
          <w:sz w:val="44"/>
          <w:szCs w:val="44"/>
        </w:rPr>
        <w:t>第一部分  农业产业化</w:t>
      </w:r>
      <w:bookmarkEnd w:id="10"/>
    </w:p>
    <w:p>
      <w:pPr>
        <w:spacing w:line="600" w:lineRule="exact"/>
        <w:ind w:firstLine="640" w:firstLineChars="200"/>
        <w:rPr>
          <w:color w:val="000000"/>
          <w:szCs w:val="32"/>
        </w:rPr>
      </w:pPr>
    </w:p>
    <w:p>
      <w:pPr>
        <w:spacing w:line="580" w:lineRule="exact"/>
        <w:outlineLvl w:val="1"/>
        <w:rPr>
          <w:b/>
          <w:bCs/>
          <w:color w:val="000000"/>
          <w:szCs w:val="32"/>
        </w:rPr>
      </w:pPr>
      <w:r>
        <w:rPr>
          <w:b/>
          <w:bCs/>
          <w:color w:val="000000"/>
          <w:sz w:val="31"/>
          <w:szCs w:val="31"/>
        </w:rPr>
        <w:t xml:space="preserve">   </w:t>
      </w:r>
      <w:r>
        <w:rPr>
          <w:rFonts w:eastAsia="黑体"/>
          <w:color w:val="000000"/>
          <w:sz w:val="31"/>
          <w:szCs w:val="31"/>
        </w:rPr>
        <w:t xml:space="preserve"> </w:t>
      </w:r>
      <w:bookmarkStart w:id="11" w:name="_Toc28001"/>
      <w:r>
        <w:rPr>
          <w:rFonts w:eastAsia="黑体"/>
          <w:color w:val="000000"/>
          <w:szCs w:val="32"/>
        </w:rPr>
        <w:t>一、标准化规模化种养基地</w:t>
      </w:r>
      <w:bookmarkEnd w:id="11"/>
    </w:p>
    <w:p>
      <w:pPr>
        <w:spacing w:line="580" w:lineRule="exact"/>
        <w:ind w:firstLine="640" w:firstLineChars="200"/>
        <w:rPr>
          <w:szCs w:val="32"/>
        </w:rPr>
      </w:pPr>
      <w:r>
        <w:rPr>
          <w:szCs w:val="32"/>
        </w:rPr>
        <w:t>以奶牛、肉牛、肉羊、瓜菜为重点，建立“企业+基地”发展模式，全面推进节本增效、信息化管理、冷链储运、市场化品牌营销。建设配套专用青贮玉米和优质6+54苜蓿种植等饲草料基地，推进形成种养结合、高效循环、一体化生产经营。引进国内外知名企业，培育支持本土企业发展，开发高端牛羊肉、奶制品和精品瓜菜。以枸杞、苹果、红枣等为重点，实施低产低效园改造提升，开展病虫害统防统治，加强农药、化肥等投入品管控，加强产品分级分类，提高产地初加工水平，推进标准化生产基地建设。</w:t>
      </w:r>
    </w:p>
    <w:p>
      <w:pPr>
        <w:spacing w:line="580" w:lineRule="exact"/>
        <w:ind w:firstLine="640" w:firstLineChars="200"/>
        <w:outlineLvl w:val="1"/>
        <w:rPr>
          <w:rFonts w:eastAsia="黑体"/>
          <w:color w:val="000000"/>
          <w:szCs w:val="32"/>
        </w:rPr>
      </w:pPr>
      <w:bookmarkStart w:id="12" w:name="_Toc16636"/>
      <w:r>
        <w:rPr>
          <w:rFonts w:eastAsia="黑体"/>
          <w:color w:val="000000"/>
          <w:szCs w:val="32"/>
        </w:rPr>
        <w:t>二、农村产业融合发展示范园</w:t>
      </w:r>
      <w:bookmarkEnd w:id="12"/>
    </w:p>
    <w:p>
      <w:pPr>
        <w:spacing w:line="580" w:lineRule="exact"/>
        <w:ind w:firstLine="640" w:firstLineChars="200"/>
        <w:rPr>
          <w:szCs w:val="32"/>
        </w:rPr>
      </w:pPr>
      <w:r>
        <w:rPr>
          <w:szCs w:val="32"/>
        </w:rPr>
        <w:t>以农业内部融合、产业链延伸、功能拓展、新技术渗透、产城融合、多业态复合为重点，培育发展新产业、新业态、新模式，鼓励通过股份合作、订单合同、服务协作、流转聘用等方式，采取“公司+合作社+农户”“公司+基地+农户”的利益联结机制，让农民分享更多产业增值收益。筛选融合模式新颖，发展思路清晰、功能定位明确，规划布局合理、建设水平领先、示范作用显著的园区开展创建工作，重点支持水电路、仓储物流等基础设施以及绿色生产、农产品加工、市场营销等。要求示范园创建主体清晰，管理方式创新，有适应发展要求的管理机构和开发运营机制，形成可复制可推广的经营管理模式。</w:t>
      </w:r>
    </w:p>
    <w:p>
      <w:pPr>
        <w:spacing w:line="580" w:lineRule="exact"/>
        <w:outlineLvl w:val="1"/>
        <w:rPr>
          <w:rFonts w:eastAsia="黑体"/>
          <w:color w:val="000000"/>
          <w:szCs w:val="32"/>
        </w:rPr>
      </w:pPr>
      <w:r>
        <w:rPr>
          <w:rFonts w:eastAsia="黑体"/>
          <w:color w:val="000000"/>
          <w:szCs w:val="32"/>
        </w:rPr>
        <w:t xml:space="preserve">    </w:t>
      </w:r>
      <w:bookmarkStart w:id="13" w:name="_Toc18455"/>
      <w:r>
        <w:rPr>
          <w:rFonts w:eastAsia="黑体"/>
          <w:color w:val="000000"/>
          <w:szCs w:val="32"/>
        </w:rPr>
        <w:t>三、农产品加工能力改造提升工程</w:t>
      </w:r>
      <w:bookmarkEnd w:id="13"/>
    </w:p>
    <w:p>
      <w:pPr>
        <w:spacing w:line="580" w:lineRule="exact"/>
        <w:ind w:firstLine="640" w:firstLineChars="200"/>
        <w:rPr>
          <w:szCs w:val="32"/>
        </w:rPr>
      </w:pPr>
      <w:r>
        <w:rPr>
          <w:szCs w:val="32"/>
        </w:rPr>
        <w:t>以枸杞、肉、乳、果、蔬为重点，统筹推进农产品初级加工、精深加工及综合利用加工。</w:t>
      </w:r>
      <w:r>
        <w:rPr>
          <w:color w:val="000000"/>
          <w:szCs w:val="32"/>
        </w:rPr>
        <w:t>支持建设果蔬、马铃薯、枸杞等特色农产品贮藏保鲜、脱水烘干、分级包装等初加工设施建设。支持龙头企业建立研发机构，改造升级现有加工设备和工艺，重点提升优质粮食、优质牛羊肉、乳制品、枸杞、酿酒葡萄等农产品精深加工能力。</w:t>
      </w:r>
      <w:r>
        <w:rPr>
          <w:szCs w:val="32"/>
        </w:rPr>
        <w:t>强化龙头企业带动，支持农产品加工企业兼并重组、参股控股等方式强强联合，</w:t>
      </w:r>
      <w:r>
        <w:rPr>
          <w:color w:val="000000"/>
          <w:szCs w:val="32"/>
        </w:rPr>
        <w:t>优化农产品加工企业布局，</w:t>
      </w:r>
      <w:r>
        <w:rPr>
          <w:szCs w:val="32"/>
        </w:rPr>
        <w:t>整合现有的加工园区，建设农产品生产、加工、研发、营销、物流为一体的综合园区。</w:t>
      </w:r>
    </w:p>
    <w:p>
      <w:pPr>
        <w:spacing w:line="580" w:lineRule="exact"/>
        <w:outlineLvl w:val="1"/>
        <w:rPr>
          <w:b/>
          <w:bCs/>
          <w:color w:val="000000"/>
          <w:szCs w:val="32"/>
        </w:rPr>
      </w:pPr>
      <w:r>
        <w:rPr>
          <w:b/>
          <w:bCs/>
          <w:color w:val="000000"/>
          <w:szCs w:val="32"/>
        </w:rPr>
        <w:t xml:space="preserve">   </w:t>
      </w:r>
      <w:r>
        <w:rPr>
          <w:rFonts w:eastAsia="黑体"/>
          <w:color w:val="000000"/>
          <w:szCs w:val="32"/>
        </w:rPr>
        <w:t xml:space="preserve"> </w:t>
      </w:r>
      <w:bookmarkStart w:id="14" w:name="_Toc31156"/>
      <w:r>
        <w:rPr>
          <w:rFonts w:eastAsia="黑体"/>
          <w:color w:val="000000"/>
          <w:szCs w:val="32"/>
        </w:rPr>
        <w:t>四、农产品全程可追溯体系建设</w:t>
      </w:r>
      <w:bookmarkEnd w:id="14"/>
    </w:p>
    <w:p>
      <w:pPr>
        <w:spacing w:line="580" w:lineRule="exact"/>
        <w:ind w:firstLine="640" w:firstLineChars="200"/>
        <w:rPr>
          <w:szCs w:val="32"/>
        </w:rPr>
      </w:pPr>
      <w:r>
        <w:rPr>
          <w:szCs w:val="32"/>
        </w:rPr>
        <w:t>推进绿色、有机、地理标志农产品相关生产经营主体及其产品纳入国家追溯平台。建设以国家级追溯平台为统领，区级追溯平台为辅助，生产经营主体追溯平台为补充的追溯体系。完善采摘、屠宰、加工、储运环节以及产地信息、生产记录、标准规程、检测数据、认证情况等追溯数据信息。健全种子质量追溯体系，全面提高种子质量。推行“风险共担、利益共享、合作共建”基地共建模式，加强“田间到餐桌”全程质量监管，提升“菜篮子”农产品质量安全水平。</w:t>
      </w:r>
    </w:p>
    <w:p>
      <w:pPr>
        <w:spacing w:line="580" w:lineRule="exact"/>
        <w:ind w:firstLine="640" w:firstLineChars="200"/>
        <w:outlineLvl w:val="1"/>
        <w:rPr>
          <w:rFonts w:eastAsia="黑体"/>
          <w:color w:val="000000"/>
          <w:szCs w:val="32"/>
        </w:rPr>
      </w:pPr>
      <w:bookmarkStart w:id="15" w:name="_Toc27140"/>
      <w:r>
        <w:rPr>
          <w:rFonts w:eastAsia="黑体"/>
          <w:color w:val="000000"/>
          <w:szCs w:val="32"/>
        </w:rPr>
        <w:t>五、宁夏特色优质农产品品牌建设</w:t>
      </w:r>
      <w:bookmarkEnd w:id="15"/>
    </w:p>
    <w:p>
      <w:pPr>
        <w:spacing w:line="580" w:lineRule="exact"/>
        <w:ind w:firstLine="640" w:firstLineChars="200"/>
        <w:rPr>
          <w:b/>
          <w:bCs/>
          <w:color w:val="000000"/>
          <w:szCs w:val="32"/>
        </w:rPr>
      </w:pPr>
      <w:r>
        <w:rPr>
          <w:szCs w:val="32"/>
        </w:rPr>
        <w:t>聚焦枸杞、滩羊、甘草、硒砂瓜、马铃薯</w:t>
      </w:r>
      <w:r>
        <w:rPr>
          <w:color w:val="000000"/>
          <w:szCs w:val="32"/>
        </w:rPr>
        <w:t>“五大之乡”和“宁夏贺兰山东麓葡萄酒”特色优质农产品，加大区域公用品牌、知名企业品牌、特色优质农产品推介力度，改造升级“老字号”，深度开发“原字号”，打响“宁字号”农产品品牌，挖掘培育一批公用品牌、企业和产品品牌，为特色优质农产品注入新活力，打造宁夏农产品整体品牌形象，扩大宁夏特色优质农产品品牌的美誉度和影响力。</w:t>
      </w:r>
    </w:p>
    <w:p>
      <w:pPr>
        <w:spacing w:line="580" w:lineRule="exact"/>
        <w:outlineLvl w:val="1"/>
        <w:rPr>
          <w:b/>
          <w:bCs/>
          <w:color w:val="000000"/>
          <w:szCs w:val="32"/>
        </w:rPr>
      </w:pPr>
      <w:r>
        <w:rPr>
          <w:b/>
          <w:bCs/>
          <w:color w:val="000000"/>
          <w:szCs w:val="32"/>
        </w:rPr>
        <w:t xml:space="preserve">    </w:t>
      </w:r>
      <w:bookmarkStart w:id="16" w:name="_Toc15309"/>
      <w:r>
        <w:rPr>
          <w:rFonts w:eastAsia="黑体"/>
          <w:color w:val="000000"/>
          <w:szCs w:val="32"/>
        </w:rPr>
        <w:t>六、智慧农业建设</w:t>
      </w:r>
      <w:bookmarkEnd w:id="16"/>
    </w:p>
    <w:p>
      <w:pPr>
        <w:spacing w:line="580" w:lineRule="exact"/>
        <w:ind w:firstLine="640" w:firstLineChars="200"/>
        <w:rPr>
          <w:szCs w:val="32"/>
        </w:rPr>
      </w:pPr>
      <w:r>
        <w:rPr>
          <w:szCs w:val="32"/>
        </w:rPr>
        <w:t>以“互联网+”现代农业为重点，实施全产业链大数据建设、农业物联网提升、农业信息进村入户、农村电商、农产品质量安全追溯系统建设，加快农业数字化改造，在规模化种养基地、农业示范园区、标准化示范园区，推广农业物联网等信息技术，提高村级益农信息社建设覆盖率，提升农业信息服务水平。实施“互联网+”农产品出村进城工程，建立以市场导向的农产品生产体系，加强产地冷链仓储等基础设施、农产品物流体系建设，加强网络应用技能培训，提升宁夏农村电商综合服务平台的运营水平。加快大田作物、设施园艺、畜禽养殖、渔业养殖等重点领域单品种全程或关键环节的信息技术集成应用，建立数字农业技术支撑规范、集成应用模式和公共服务体系，探索建立可看、可用、可复制的智慧农业发展路径。</w:t>
      </w:r>
    </w:p>
    <w:p>
      <w:pPr>
        <w:pStyle w:val="2"/>
        <w:widowControl w:val="0"/>
        <w:spacing w:before="0" w:after="0" w:line="600" w:lineRule="exact"/>
        <w:ind w:left="0" w:leftChars="0" w:firstLine="0" w:firstLineChars="0"/>
        <w:jc w:val="center"/>
        <w:outlineLvl w:val="0"/>
        <w:rPr>
          <w:rFonts w:ascii="Times New Roman" w:hAnsi="Times New Roman" w:eastAsia="方正小标宋_GBK"/>
          <w:sz w:val="44"/>
          <w:szCs w:val="44"/>
          <w:lang w:val="en-US" w:eastAsia="zh-CN"/>
        </w:rPr>
      </w:pPr>
    </w:p>
    <w:p>
      <w:pPr>
        <w:pStyle w:val="2"/>
        <w:widowControl w:val="0"/>
        <w:spacing w:before="0" w:after="0" w:line="600" w:lineRule="exact"/>
        <w:ind w:left="0" w:leftChars="0" w:firstLine="0" w:firstLineChars="0"/>
        <w:jc w:val="center"/>
        <w:outlineLvl w:val="0"/>
        <w:rPr>
          <w:rFonts w:ascii="Times New Roman" w:hAnsi="Times New Roman" w:eastAsia="方正小标宋_GBK"/>
          <w:sz w:val="44"/>
          <w:szCs w:val="44"/>
          <w:lang w:val="en-US" w:eastAsia="zh-CN"/>
        </w:rPr>
      </w:pPr>
    </w:p>
    <w:p>
      <w:pPr>
        <w:pStyle w:val="2"/>
        <w:widowControl w:val="0"/>
        <w:spacing w:before="0" w:after="0" w:line="600" w:lineRule="exact"/>
        <w:ind w:left="0" w:leftChars="0" w:firstLine="0" w:firstLineChars="0"/>
        <w:jc w:val="center"/>
        <w:outlineLvl w:val="0"/>
        <w:rPr>
          <w:rFonts w:hint="eastAsia" w:ascii="Times New Roman" w:hAnsi="Times New Roman" w:eastAsia="方正小标宋_GBK"/>
          <w:sz w:val="32"/>
          <w:szCs w:val="32"/>
          <w:lang w:val="en-US" w:eastAsia="zh-CN"/>
        </w:rPr>
      </w:pPr>
    </w:p>
    <w:p>
      <w:pPr>
        <w:pStyle w:val="2"/>
        <w:widowControl w:val="0"/>
        <w:spacing w:before="0" w:after="0" w:line="600" w:lineRule="exact"/>
        <w:ind w:left="0" w:leftChars="0" w:firstLine="0" w:firstLineChars="0"/>
        <w:jc w:val="center"/>
        <w:outlineLvl w:val="0"/>
        <w:rPr>
          <w:rFonts w:hint="eastAsia" w:ascii="Times New Roman" w:hAnsi="Times New Roman" w:eastAsia="方正小标宋_GBK"/>
          <w:sz w:val="32"/>
          <w:szCs w:val="32"/>
          <w:lang w:val="en-US" w:eastAsia="zh-CN"/>
        </w:rPr>
      </w:pPr>
    </w:p>
    <w:p>
      <w:pPr>
        <w:pStyle w:val="2"/>
        <w:widowControl w:val="0"/>
        <w:spacing w:before="0" w:after="0" w:line="600" w:lineRule="exact"/>
        <w:ind w:left="0" w:leftChars="0" w:firstLine="0" w:firstLineChars="0"/>
        <w:jc w:val="center"/>
        <w:outlineLvl w:val="0"/>
        <w:rPr>
          <w:rFonts w:hint="eastAsia" w:ascii="Times New Roman" w:hAnsi="Times New Roman" w:eastAsia="方正小标宋_GBK"/>
          <w:sz w:val="32"/>
          <w:szCs w:val="32"/>
          <w:lang w:val="en-US" w:eastAsia="zh-CN"/>
        </w:rPr>
      </w:pPr>
    </w:p>
    <w:p>
      <w:pPr>
        <w:pStyle w:val="2"/>
        <w:widowControl w:val="0"/>
        <w:spacing w:before="0" w:after="0" w:line="600" w:lineRule="exact"/>
        <w:ind w:left="0" w:leftChars="0" w:firstLine="0" w:firstLineChars="0"/>
        <w:jc w:val="center"/>
        <w:outlineLvl w:val="0"/>
        <w:rPr>
          <w:rFonts w:hint="eastAsia" w:ascii="Times New Roman" w:hAnsi="Times New Roman" w:eastAsia="方正小标宋_GBK"/>
          <w:sz w:val="32"/>
          <w:szCs w:val="32"/>
          <w:lang w:val="en-US" w:eastAsia="zh-CN"/>
        </w:rPr>
      </w:pPr>
    </w:p>
    <w:p>
      <w:pPr>
        <w:pStyle w:val="2"/>
        <w:widowControl w:val="0"/>
        <w:spacing w:before="0" w:after="0" w:line="600" w:lineRule="exact"/>
        <w:ind w:left="0" w:leftChars="0" w:firstLine="0" w:firstLineChars="0"/>
        <w:jc w:val="center"/>
        <w:outlineLvl w:val="0"/>
        <w:rPr>
          <w:rFonts w:hint="eastAsia" w:ascii="Times New Roman" w:hAnsi="Times New Roman" w:eastAsia="方正小标宋_GBK"/>
          <w:sz w:val="32"/>
          <w:szCs w:val="32"/>
          <w:lang w:val="en-US" w:eastAsia="zh-CN"/>
        </w:rPr>
      </w:pPr>
    </w:p>
    <w:p>
      <w:pPr>
        <w:pStyle w:val="2"/>
        <w:widowControl w:val="0"/>
        <w:spacing w:before="0" w:after="0" w:line="600" w:lineRule="exact"/>
        <w:ind w:left="0" w:leftChars="0" w:firstLine="0" w:firstLineChars="0"/>
        <w:jc w:val="center"/>
        <w:outlineLvl w:val="0"/>
        <w:rPr>
          <w:rFonts w:hint="eastAsia" w:ascii="Times New Roman" w:hAnsi="Times New Roman" w:eastAsia="方正小标宋_GBK"/>
          <w:sz w:val="32"/>
          <w:szCs w:val="32"/>
          <w:lang w:val="en-US" w:eastAsia="zh-CN"/>
        </w:rPr>
      </w:pPr>
    </w:p>
    <w:p>
      <w:pPr>
        <w:pStyle w:val="2"/>
        <w:widowControl w:val="0"/>
        <w:numPr>
          <w:ilvl w:val="0"/>
          <w:numId w:val="1"/>
        </w:numPr>
        <w:spacing w:before="0" w:after="0" w:line="600" w:lineRule="exact"/>
        <w:ind w:left="0" w:leftChars="0" w:firstLine="0" w:firstLineChars="0"/>
        <w:jc w:val="center"/>
        <w:outlineLvl w:val="0"/>
        <w:rPr>
          <w:rFonts w:ascii="Times New Roman" w:hAnsi="Times New Roman" w:eastAsia="方正小标宋_GBK"/>
          <w:sz w:val="44"/>
          <w:szCs w:val="44"/>
          <w:lang w:val="en-US" w:eastAsia="zh-CN"/>
        </w:rPr>
      </w:pPr>
      <w:bookmarkStart w:id="17" w:name="_Toc99"/>
      <w:bookmarkStart w:id="18" w:name="_Toc22075"/>
      <w:bookmarkStart w:id="19" w:name="_Toc28052"/>
      <w:bookmarkStart w:id="20" w:name="_Toc27527"/>
      <w:bookmarkStart w:id="21" w:name="_Toc22711"/>
      <w:bookmarkStart w:id="22" w:name="_Toc17542"/>
      <w:bookmarkStart w:id="23" w:name="_Toc26875"/>
      <w:bookmarkStart w:id="24" w:name="_Toc11839"/>
      <w:r>
        <w:rPr>
          <w:rFonts w:ascii="Times New Roman" w:hAnsi="Times New Roman" w:eastAsia="方正小标宋_GBK"/>
          <w:sz w:val="44"/>
          <w:szCs w:val="44"/>
          <w:lang w:val="en-US" w:eastAsia="zh-CN"/>
        </w:rPr>
        <w:t xml:space="preserve"> </w:t>
      </w:r>
      <w:bookmarkStart w:id="25" w:name="_Toc1968"/>
      <w:r>
        <w:rPr>
          <w:rFonts w:ascii="Times New Roman" w:hAnsi="Times New Roman" w:eastAsia="方正小标宋_GBK"/>
          <w:sz w:val="44"/>
          <w:szCs w:val="44"/>
          <w:lang w:val="en-US" w:eastAsia="zh-CN"/>
        </w:rPr>
        <w:t>工业</w:t>
      </w:r>
      <w:bookmarkEnd w:id="17"/>
      <w:bookmarkEnd w:id="18"/>
      <w:bookmarkEnd w:id="19"/>
      <w:bookmarkEnd w:id="20"/>
      <w:bookmarkEnd w:id="21"/>
      <w:bookmarkEnd w:id="22"/>
      <w:bookmarkEnd w:id="23"/>
      <w:bookmarkEnd w:id="24"/>
      <w:r>
        <w:rPr>
          <w:rFonts w:ascii="Times New Roman" w:hAnsi="Times New Roman" w:eastAsia="方正小标宋_GBK"/>
          <w:sz w:val="44"/>
          <w:szCs w:val="44"/>
          <w:lang w:val="en-US" w:eastAsia="zh-CN"/>
        </w:rPr>
        <w:t>转型升级</w:t>
      </w:r>
      <w:bookmarkEnd w:id="25"/>
    </w:p>
    <w:p>
      <w:pPr>
        <w:pStyle w:val="2"/>
        <w:widowControl w:val="0"/>
        <w:spacing w:before="0" w:after="0" w:line="400" w:lineRule="exact"/>
        <w:ind w:left="0" w:leftChars="0" w:firstLine="640"/>
        <w:jc w:val="both"/>
        <w:outlineLvl w:val="1"/>
        <w:rPr>
          <w:rFonts w:ascii="Times New Roman" w:hAnsi="Times New Roman" w:eastAsia="仿宋_GB2312"/>
          <w:sz w:val="32"/>
          <w:szCs w:val="32"/>
          <w:lang w:eastAsia="zh-CN"/>
        </w:rPr>
      </w:pPr>
      <w:bookmarkStart w:id="26" w:name="_Toc17397"/>
      <w:bookmarkStart w:id="27" w:name="_Toc2148"/>
      <w:bookmarkStart w:id="28" w:name="_Toc21405"/>
      <w:bookmarkStart w:id="29" w:name="_Toc23243"/>
      <w:bookmarkStart w:id="30" w:name="_Toc5369"/>
      <w:bookmarkStart w:id="31" w:name="_Toc25331"/>
      <w:bookmarkStart w:id="32" w:name="_Toc29673"/>
    </w:p>
    <w:p>
      <w:pPr>
        <w:pStyle w:val="2"/>
        <w:widowControl w:val="0"/>
        <w:spacing w:before="0" w:after="0" w:line="580" w:lineRule="exact"/>
        <w:ind w:left="0" w:leftChars="0" w:firstLine="640"/>
        <w:jc w:val="both"/>
        <w:outlineLvl w:val="1"/>
        <w:rPr>
          <w:rFonts w:ascii="Times New Roman" w:hAnsi="Times New Roman" w:eastAsia="黑体"/>
          <w:sz w:val="32"/>
          <w:szCs w:val="32"/>
          <w:lang w:eastAsia="zh-CN"/>
        </w:rPr>
      </w:pPr>
      <w:bookmarkStart w:id="33" w:name="_Toc9217"/>
      <w:r>
        <w:rPr>
          <w:rFonts w:ascii="Times New Roman" w:hAnsi="Times New Roman" w:eastAsia="黑体"/>
          <w:sz w:val="32"/>
          <w:szCs w:val="32"/>
          <w:lang w:eastAsia="zh-CN"/>
        </w:rPr>
        <w:t>一、煤矿安全改造</w:t>
      </w:r>
      <w:bookmarkEnd w:id="26"/>
      <w:bookmarkEnd w:id="27"/>
      <w:bookmarkEnd w:id="28"/>
      <w:bookmarkEnd w:id="29"/>
      <w:bookmarkEnd w:id="30"/>
      <w:bookmarkEnd w:id="31"/>
      <w:bookmarkEnd w:id="32"/>
      <w:bookmarkEnd w:id="33"/>
    </w:p>
    <w:p>
      <w:pPr>
        <w:spacing w:line="580" w:lineRule="exact"/>
        <w:ind w:firstLine="640" w:firstLineChars="200"/>
        <w:outlineLvl w:val="2"/>
        <w:rPr>
          <w:rFonts w:eastAsia="楷体"/>
          <w:szCs w:val="32"/>
        </w:rPr>
      </w:pPr>
      <w:bookmarkStart w:id="34" w:name="_Toc737"/>
      <w:bookmarkStart w:id="35" w:name="_Toc8817"/>
      <w:bookmarkStart w:id="36" w:name="_Toc17427"/>
      <w:r>
        <w:rPr>
          <w:rFonts w:eastAsia="楷体"/>
          <w:szCs w:val="32"/>
        </w:rPr>
        <w:t>（一）瓦斯抽采利用系统改造</w:t>
      </w:r>
      <w:bookmarkEnd w:id="34"/>
      <w:bookmarkEnd w:id="35"/>
      <w:bookmarkEnd w:id="36"/>
    </w:p>
    <w:p>
      <w:pPr>
        <w:spacing w:line="580" w:lineRule="exact"/>
        <w:ind w:firstLine="640" w:firstLineChars="200"/>
        <w:rPr>
          <w:szCs w:val="32"/>
        </w:rPr>
      </w:pPr>
      <w:r>
        <w:rPr>
          <w:szCs w:val="32"/>
        </w:rPr>
        <w:t>按照《煤矿瓦斯抽采达标暂行规定》和《防治煤与瓦斯突出规定》等要求，加大瓦斯抽采和区域防突力度，施工专用瓦斯抽采巷道、钻孔，完善瓦斯抽采设备和管路等。关闭矿井建立完善瓦斯抽采利用系统。</w:t>
      </w:r>
      <w:bookmarkStart w:id="37" w:name="_Toc15903"/>
      <w:bookmarkStart w:id="38" w:name="_Toc3730"/>
    </w:p>
    <w:p>
      <w:pPr>
        <w:spacing w:line="580" w:lineRule="exact"/>
        <w:ind w:firstLine="640" w:firstLineChars="200"/>
        <w:outlineLvl w:val="2"/>
        <w:rPr>
          <w:rFonts w:eastAsia="楷体"/>
          <w:szCs w:val="32"/>
        </w:rPr>
      </w:pPr>
      <w:bookmarkStart w:id="39" w:name="_Toc26106"/>
      <w:r>
        <w:rPr>
          <w:rFonts w:eastAsia="楷体"/>
          <w:szCs w:val="32"/>
        </w:rPr>
        <w:t>（二）通风系统改造</w:t>
      </w:r>
      <w:bookmarkEnd w:id="37"/>
      <w:bookmarkEnd w:id="38"/>
      <w:bookmarkEnd w:id="39"/>
    </w:p>
    <w:p>
      <w:pPr>
        <w:spacing w:line="580" w:lineRule="exact"/>
        <w:ind w:firstLine="640"/>
        <w:rPr>
          <w:szCs w:val="32"/>
        </w:rPr>
      </w:pPr>
      <w:r>
        <w:rPr>
          <w:szCs w:val="32"/>
        </w:rPr>
        <w:t>煤矿完善通风系统，建立专用通风巷，配置通风设备，实现通风可靠。</w:t>
      </w:r>
      <w:bookmarkStart w:id="40" w:name="_Toc17349"/>
      <w:bookmarkStart w:id="41" w:name="_Toc29426"/>
    </w:p>
    <w:p>
      <w:pPr>
        <w:spacing w:line="580" w:lineRule="exact"/>
        <w:ind w:firstLine="640"/>
        <w:outlineLvl w:val="2"/>
        <w:rPr>
          <w:rFonts w:eastAsia="楷体"/>
          <w:szCs w:val="32"/>
        </w:rPr>
      </w:pPr>
      <w:bookmarkStart w:id="42" w:name="_Toc5728"/>
      <w:r>
        <w:rPr>
          <w:rFonts w:eastAsia="楷体"/>
          <w:szCs w:val="32"/>
        </w:rPr>
        <w:t>（三）重大安全隐患治理</w:t>
      </w:r>
      <w:bookmarkEnd w:id="40"/>
      <w:bookmarkEnd w:id="41"/>
      <w:bookmarkEnd w:id="42"/>
    </w:p>
    <w:p>
      <w:pPr>
        <w:spacing w:line="580" w:lineRule="exact"/>
        <w:rPr>
          <w:szCs w:val="32"/>
        </w:rPr>
      </w:pPr>
      <w:r>
        <w:rPr>
          <w:szCs w:val="32"/>
        </w:rPr>
        <w:t xml:space="preserve">    水害、自然发火、地温、冲击地压、粉尘等灾害严重的煤矿，有针对性地完善治理措施，淘汰禁止使用设备，鼓励先进技术推广，加快安全监测系统改造升级，提升安全监测监控信息化水平，提高煤矿避险、应急和安全保障能力等。支持《煤矿安全生产先进适用技术推广目录》中相关技术的推广应用。</w:t>
      </w:r>
    </w:p>
    <w:p>
      <w:pPr>
        <w:spacing w:line="580" w:lineRule="exact"/>
        <w:outlineLvl w:val="2"/>
        <w:rPr>
          <w:rFonts w:eastAsia="楷体"/>
          <w:szCs w:val="32"/>
        </w:rPr>
      </w:pPr>
      <w:bookmarkStart w:id="43" w:name="_Toc5427"/>
      <w:bookmarkStart w:id="44" w:name="_Toc1192"/>
      <w:r>
        <w:rPr>
          <w:rFonts w:eastAsia="楷体"/>
          <w:szCs w:val="32"/>
        </w:rPr>
        <w:t xml:space="preserve">    </w:t>
      </w:r>
      <w:bookmarkStart w:id="45" w:name="_Toc11662"/>
      <w:r>
        <w:rPr>
          <w:rFonts w:eastAsia="楷体"/>
          <w:szCs w:val="32"/>
        </w:rPr>
        <w:t>（四）煤矿智能装备推广应用</w:t>
      </w:r>
      <w:bookmarkEnd w:id="43"/>
      <w:bookmarkEnd w:id="44"/>
      <w:bookmarkEnd w:id="45"/>
    </w:p>
    <w:p>
      <w:pPr>
        <w:spacing w:line="580" w:lineRule="exact"/>
        <w:ind w:firstLine="640"/>
        <w:rPr>
          <w:szCs w:val="32"/>
        </w:rPr>
      </w:pPr>
      <w:r>
        <w:rPr>
          <w:szCs w:val="32"/>
        </w:rPr>
        <w:t>煤矿推广应用智能装备，推进机械化换人、自动化减人和智能装备替代高危岗位作业。</w:t>
      </w:r>
    </w:p>
    <w:p>
      <w:pPr>
        <w:spacing w:line="580" w:lineRule="exact"/>
        <w:outlineLvl w:val="2"/>
        <w:rPr>
          <w:rFonts w:eastAsia="楷体"/>
          <w:szCs w:val="32"/>
        </w:rPr>
      </w:pPr>
      <w:r>
        <w:rPr>
          <w:rFonts w:eastAsia="楷体"/>
          <w:szCs w:val="32"/>
        </w:rPr>
        <w:t xml:space="preserve">    </w:t>
      </w:r>
      <w:bookmarkStart w:id="46" w:name="_Toc28374"/>
      <w:r>
        <w:rPr>
          <w:rFonts w:eastAsia="楷体"/>
          <w:szCs w:val="32"/>
        </w:rPr>
        <w:t>（五）煤炭储备能力建设</w:t>
      </w:r>
      <w:bookmarkEnd w:id="46"/>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落实国家能源安全储备政策要求，落实规划布局，按照国家能源安全储备政策和《煤炭产供储销体系建设方案》明确的煤炭储备体系建设原则及目标，结合煤炭生产、运输和需求格局变化，做好煤炭产品与产能储备相结合的煤炭项目储备。</w:t>
      </w:r>
    </w:p>
    <w:p>
      <w:pPr>
        <w:spacing w:line="580" w:lineRule="exact"/>
        <w:rPr>
          <w:szCs w:val="32"/>
          <w:lang w:val="zh-CN"/>
        </w:rPr>
      </w:pPr>
      <w:r>
        <w:rPr>
          <w:szCs w:val="32"/>
        </w:rPr>
        <w:t xml:space="preserve">    </w:t>
      </w:r>
      <w:r>
        <w:rPr>
          <w:color w:val="000000"/>
          <w:szCs w:val="32"/>
        </w:rPr>
        <w:t>以上项目可申报争取煤矿安全改造中央预算内投资支持，补助比例原则上不超过项目总投资的30%，地方配套资金由自治区煤矿瓦斯治理专项资金支持，其余资金由煤矿企业自有资金和银行贷款为主。重点支持：1.灾害严重、安全欠账多且自身投入困难的煤矿企业所属煤矿；2.中长期合同履约率高、积极参与煤炭产品产能调峰和储备等供应保障责任落实较好的煤矿企业所属煤矿；3.积极落实产能置换政策、产能登记公告制度等煤炭行业供给侧结构性改革重点举措的地区或煤矿企业所属煤矿；4.积极推广应用井下智能装备、机器人岗位替代、推进煤炭开采减人提效的煤矿；5.安全生产标准化达到二级以上的煤矿；6.欠发达地区，特别是革命老区、民族地区、边疆地区和集中连片特殊困难地区的煤矿；7.其它需要中央预算内投资支持的煤矿。申报要求：按照《煤矿安全改造中央预算内投资专项管理办法》要求进行申报，未按照有关规定提取和使用煤炭生产安全费用的项目，不予支持。</w:t>
      </w:r>
    </w:p>
    <w:p>
      <w:pPr>
        <w:pStyle w:val="2"/>
        <w:widowControl w:val="0"/>
        <w:spacing w:before="0" w:after="0" w:line="580" w:lineRule="exact"/>
        <w:ind w:left="0" w:leftChars="0" w:firstLine="640"/>
        <w:outlineLvl w:val="1"/>
        <w:rPr>
          <w:rFonts w:ascii="Times New Roman" w:hAnsi="Times New Roman" w:eastAsia="黑体"/>
          <w:sz w:val="32"/>
          <w:szCs w:val="32"/>
          <w:lang w:val="en-US" w:eastAsia="zh-CN"/>
        </w:rPr>
      </w:pPr>
      <w:bookmarkStart w:id="47" w:name="_Toc4333"/>
      <w:bookmarkStart w:id="48" w:name="_Toc27398"/>
      <w:bookmarkStart w:id="49" w:name="_Toc609"/>
      <w:bookmarkStart w:id="50" w:name="_Toc21365"/>
      <w:bookmarkStart w:id="51" w:name="_Toc21089"/>
      <w:bookmarkStart w:id="52" w:name="_Toc29818"/>
      <w:bookmarkStart w:id="53" w:name="_Toc14905"/>
      <w:bookmarkStart w:id="54" w:name="_Toc22199"/>
      <w:bookmarkStart w:id="55" w:name="_Toc23260"/>
      <w:bookmarkStart w:id="56" w:name="_Toc945"/>
      <w:bookmarkStart w:id="57" w:name="_Toc27973"/>
      <w:bookmarkStart w:id="58" w:name="_Toc1332"/>
      <w:bookmarkStart w:id="59" w:name="_Toc17378"/>
      <w:bookmarkStart w:id="60" w:name="_Toc7486"/>
      <w:bookmarkStart w:id="61" w:name="_Toc29466"/>
      <w:r>
        <w:rPr>
          <w:rFonts w:ascii="Times New Roman" w:hAnsi="Times New Roman" w:eastAsia="黑体"/>
          <w:sz w:val="32"/>
          <w:szCs w:val="32"/>
          <w:lang w:val="en-US" w:eastAsia="zh-CN"/>
        </w:rPr>
        <w:t>二、制造业</w:t>
      </w:r>
      <w:bookmarkEnd w:id="47"/>
      <w:bookmarkEnd w:id="48"/>
      <w:bookmarkEnd w:id="49"/>
      <w:bookmarkEnd w:id="50"/>
      <w:bookmarkEnd w:id="51"/>
      <w:bookmarkEnd w:id="52"/>
      <w:bookmarkEnd w:id="53"/>
      <w:bookmarkEnd w:id="54"/>
    </w:p>
    <w:p>
      <w:pPr>
        <w:pStyle w:val="14"/>
        <w:widowControl w:val="0"/>
        <w:spacing w:line="580" w:lineRule="exact"/>
        <w:ind w:firstLine="640" w:firstLineChars="200"/>
        <w:outlineLvl w:val="2"/>
        <w:rPr>
          <w:rFonts w:ascii="Times New Roman" w:hAnsi="Times New Roman" w:eastAsia="楷体" w:cs="Times New Roman"/>
          <w:sz w:val="32"/>
          <w:szCs w:val="32"/>
        </w:rPr>
      </w:pPr>
      <w:bookmarkStart w:id="62" w:name="_Toc13535"/>
      <w:bookmarkStart w:id="63" w:name="_Toc25841"/>
      <w:bookmarkStart w:id="64" w:name="_Toc5542"/>
      <w:bookmarkStart w:id="65" w:name="_Toc7000"/>
      <w:bookmarkStart w:id="66" w:name="_Toc23024"/>
      <w:bookmarkStart w:id="67" w:name="_Toc13149"/>
      <w:bookmarkStart w:id="68" w:name="_Toc11229"/>
      <w:bookmarkStart w:id="69" w:name="_Toc20168"/>
      <w:bookmarkStart w:id="70" w:name="_Toc11455"/>
      <w:r>
        <w:rPr>
          <w:rFonts w:ascii="Times New Roman" w:hAnsi="Times New Roman" w:eastAsia="楷体" w:cs="Times New Roman"/>
          <w:sz w:val="32"/>
          <w:szCs w:val="32"/>
        </w:rPr>
        <w:t>（一）关键技术产业化</w:t>
      </w:r>
      <w:bookmarkEnd w:id="62"/>
      <w:bookmarkEnd w:id="63"/>
      <w:bookmarkEnd w:id="64"/>
      <w:bookmarkEnd w:id="65"/>
      <w:bookmarkEnd w:id="66"/>
      <w:bookmarkEnd w:id="67"/>
      <w:bookmarkEnd w:id="68"/>
      <w:bookmarkEnd w:id="69"/>
      <w:bookmarkEnd w:id="70"/>
    </w:p>
    <w:p>
      <w:pPr>
        <w:pStyle w:val="14"/>
        <w:widowControl w:val="0"/>
        <w:spacing w:line="580" w:lineRule="exact"/>
        <w:ind w:firstLine="642" w:firstLineChars="200"/>
        <w:jc w:val="both"/>
        <w:outlineLvl w:val="2"/>
        <w:rPr>
          <w:rFonts w:ascii="Times New Roman" w:hAnsi="Times New Roman" w:eastAsia="仿宋_GB2312" w:cs="Times New Roman"/>
          <w:b/>
          <w:bCs/>
          <w:kern w:val="2"/>
          <w:sz w:val="32"/>
          <w:szCs w:val="32"/>
        </w:rPr>
      </w:pPr>
      <w:bookmarkStart w:id="71" w:name="_Toc12656"/>
      <w:bookmarkStart w:id="72" w:name="_Toc6742"/>
      <w:bookmarkStart w:id="73" w:name="_Toc9861"/>
      <w:bookmarkStart w:id="74" w:name="_Toc18050"/>
      <w:bookmarkStart w:id="75" w:name="_Toc2797"/>
      <w:bookmarkStart w:id="76" w:name="_Toc25316"/>
      <w:bookmarkStart w:id="77" w:name="_Toc22081"/>
      <w:bookmarkStart w:id="78" w:name="_Toc12750"/>
      <w:bookmarkStart w:id="79" w:name="_Toc12672"/>
      <w:r>
        <w:rPr>
          <w:rFonts w:ascii="Times New Roman" w:hAnsi="Times New Roman" w:eastAsia="仿宋_GB2312" w:cs="Times New Roman"/>
          <w:b/>
          <w:bCs/>
          <w:kern w:val="2"/>
          <w:sz w:val="32"/>
          <w:szCs w:val="32"/>
        </w:rPr>
        <w:t>1.轨道交通装备关键技术产业化</w:t>
      </w:r>
      <w:bookmarkEnd w:id="71"/>
      <w:bookmarkEnd w:id="72"/>
      <w:bookmarkEnd w:id="73"/>
      <w:bookmarkEnd w:id="74"/>
      <w:bookmarkEnd w:id="75"/>
      <w:bookmarkEnd w:id="76"/>
      <w:bookmarkEnd w:id="77"/>
      <w:bookmarkEnd w:id="78"/>
      <w:bookmarkEnd w:id="79"/>
    </w:p>
    <w:p>
      <w:pPr>
        <w:pStyle w:val="14"/>
        <w:widowControl w:val="0"/>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shd w:val="clear" w:color="auto" w:fill="FFFFFF"/>
        </w:rPr>
        <w:t>（1）高端轴承：</w:t>
      </w:r>
      <w:r>
        <w:rPr>
          <w:rFonts w:ascii="Times New Roman" w:hAnsi="Times New Roman" w:eastAsia="仿宋_GB2312" w:cs="Times New Roman"/>
          <w:kern w:val="2"/>
          <w:sz w:val="32"/>
          <w:szCs w:val="32"/>
        </w:rPr>
        <w:t>重点研发地铁、城轨、高速列车轴箱轴承，开展地铁A型车辆轴箱轴承、牵引电机绝缘轴承等产品的国产化替代研发，突破设计、制造、润滑、检测与试验、状态监测等技术，形成批量化生产能力。</w:t>
      </w:r>
    </w:p>
    <w:p>
      <w:pPr>
        <w:pStyle w:val="14"/>
        <w:widowControl w:val="0"/>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shd w:val="clear" w:color="auto" w:fill="FFFFFF"/>
        </w:rPr>
        <w:t>（2）铝合金构件：</w:t>
      </w:r>
      <w:r>
        <w:rPr>
          <w:rFonts w:ascii="Times New Roman" w:hAnsi="Times New Roman" w:eastAsia="仿宋_GB2312" w:cs="Times New Roman"/>
          <w:kern w:val="2"/>
          <w:sz w:val="32"/>
          <w:szCs w:val="32"/>
        </w:rPr>
        <w:t>重点研发轨道列车用铝合金侧墙、地板、蒙皮、高速动车组铝合金枕梁等高品质超薄超宽铝合金构件，实现产业化生产。</w:t>
      </w:r>
    </w:p>
    <w:p>
      <w:pPr>
        <w:pStyle w:val="14"/>
        <w:widowControl w:val="0"/>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shd w:val="clear" w:color="auto" w:fill="FFFFFF"/>
        </w:rPr>
        <w:t>（3）电子变压器：</w:t>
      </w:r>
      <w:r>
        <w:rPr>
          <w:rFonts w:ascii="Times New Roman" w:hAnsi="Times New Roman" w:eastAsia="仿宋_GB2312" w:cs="Times New Roman"/>
          <w:kern w:val="2"/>
          <w:sz w:val="32"/>
          <w:szCs w:val="32"/>
        </w:rPr>
        <w:t>重点研发高频、大功率、高密度、高可靠性的高速和重载铁路车载牵引变压器，实现产业化生产。</w:t>
      </w:r>
    </w:p>
    <w:p>
      <w:pPr>
        <w:pStyle w:val="14"/>
        <w:widowControl w:val="0"/>
        <w:spacing w:line="580" w:lineRule="exact"/>
        <w:ind w:firstLine="642" w:firstLineChars="200"/>
        <w:jc w:val="both"/>
        <w:outlineLvl w:val="2"/>
        <w:rPr>
          <w:rFonts w:ascii="Times New Roman" w:hAnsi="Times New Roman" w:eastAsia="仿宋_GB2312" w:cs="Times New Roman"/>
          <w:b/>
          <w:bCs/>
          <w:kern w:val="2"/>
          <w:sz w:val="32"/>
          <w:szCs w:val="32"/>
        </w:rPr>
      </w:pPr>
      <w:bookmarkStart w:id="80" w:name="_Toc31359"/>
      <w:bookmarkStart w:id="81" w:name="_Toc11028"/>
      <w:bookmarkStart w:id="82" w:name="_Toc6565"/>
      <w:bookmarkStart w:id="83" w:name="_Toc6675"/>
      <w:bookmarkStart w:id="84" w:name="_Toc12711"/>
      <w:bookmarkStart w:id="85" w:name="_Toc13534"/>
      <w:bookmarkStart w:id="86" w:name="_Toc8145"/>
      <w:bookmarkStart w:id="87" w:name="_Toc23670"/>
      <w:bookmarkStart w:id="88" w:name="_Toc19909"/>
      <w:r>
        <w:rPr>
          <w:rFonts w:ascii="Times New Roman" w:hAnsi="Times New Roman" w:eastAsia="仿宋_GB2312" w:cs="Times New Roman"/>
          <w:b/>
          <w:bCs/>
          <w:kern w:val="2"/>
          <w:sz w:val="32"/>
          <w:szCs w:val="32"/>
        </w:rPr>
        <w:t>2.智能汽车关键技术产业化</w:t>
      </w:r>
      <w:bookmarkEnd w:id="80"/>
      <w:bookmarkEnd w:id="81"/>
      <w:bookmarkEnd w:id="82"/>
      <w:bookmarkEnd w:id="83"/>
      <w:bookmarkEnd w:id="84"/>
      <w:bookmarkEnd w:id="85"/>
      <w:bookmarkEnd w:id="86"/>
      <w:bookmarkEnd w:id="87"/>
      <w:bookmarkEnd w:id="88"/>
    </w:p>
    <w:p>
      <w:pPr>
        <w:pStyle w:val="14"/>
        <w:widowControl w:val="0"/>
        <w:spacing w:line="580" w:lineRule="exact"/>
        <w:ind w:firstLine="640" w:firstLineChars="200"/>
        <w:jc w:val="both"/>
        <w:rPr>
          <w:rFonts w:ascii="Times New Roman" w:hAnsi="Times New Roman" w:eastAsia="仿宋_GB2312" w:cs="Times New Roman"/>
          <w:color w:val="0000FF"/>
          <w:sz w:val="32"/>
          <w:szCs w:val="32"/>
          <w:shd w:val="clear" w:color="auto" w:fill="FFFFFF"/>
        </w:rPr>
      </w:pPr>
      <w:r>
        <w:rPr>
          <w:rFonts w:ascii="Times New Roman" w:hAnsi="Times New Roman" w:eastAsia="仿宋_GB2312" w:cs="Times New Roman"/>
          <w:kern w:val="2"/>
          <w:sz w:val="32"/>
          <w:szCs w:val="32"/>
        </w:rPr>
        <w:t xml:space="preserve">引进具有国内外先进技术生产纯电动新能源汽车生产企业，配套引进电池、电机、电控等关键汽车配套零部件生产项目，培育壮大现有汽车配套零部件生产企业，重点推进先进动力电池研制及高效回收利用工程，延伸和完善新能源汽车产业链。  </w:t>
      </w:r>
      <w:r>
        <w:rPr>
          <w:rFonts w:ascii="Times New Roman" w:hAnsi="Times New Roman" w:eastAsia="仿宋_GB2312" w:cs="Times New Roman"/>
          <w:color w:val="0000FF"/>
          <w:sz w:val="32"/>
          <w:szCs w:val="32"/>
          <w:shd w:val="clear" w:color="auto" w:fill="FFFFFF"/>
        </w:rPr>
        <w:t xml:space="preserve"> </w:t>
      </w:r>
    </w:p>
    <w:p>
      <w:pPr>
        <w:pStyle w:val="14"/>
        <w:widowControl w:val="0"/>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shd w:val="clear" w:color="auto" w:fill="FFFFFF"/>
        </w:rPr>
        <w:t>（1）轻量化车身：</w:t>
      </w:r>
      <w:r>
        <w:rPr>
          <w:rFonts w:ascii="Times New Roman" w:hAnsi="Times New Roman" w:eastAsia="仿宋_GB2312" w:cs="Times New Roman"/>
          <w:kern w:val="2"/>
          <w:sz w:val="32"/>
          <w:szCs w:val="32"/>
        </w:rPr>
        <w:t>结合汽车产品轻量化的发展趋势，开展铝合金、镁合金材料深加工及应用的自主技术研发，引进企业开发低密度的轻质材料和高强度材料，主要包括以铝、镁、钛合金为代表的金属材料和塑料、纤维等高分子材料。重点发展应用铝合金、高强度钢、镁合金、碳纤维等新材料生产制造新能源汽车轻量化车身。</w:t>
      </w:r>
    </w:p>
    <w:p>
      <w:pPr>
        <w:pStyle w:val="14"/>
        <w:widowControl w:val="0"/>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shd w:val="clear" w:color="auto" w:fill="FFFFFF"/>
        </w:rPr>
        <w:t>（2）先进动力电池及系统集成。</w:t>
      </w:r>
      <w:r>
        <w:rPr>
          <w:rFonts w:ascii="Times New Roman" w:hAnsi="Times New Roman" w:eastAsia="仿宋_GB2312" w:cs="Times New Roman"/>
          <w:kern w:val="2"/>
          <w:sz w:val="32"/>
          <w:szCs w:val="32"/>
        </w:rPr>
        <w:t>开展高安全、长寿命、耐低温、低成本的高能量型和高功率型车用动力电池材料、单体及系统研发和产业化，加强高效率、高精度、智能化先进动力电池生产线示范应用。重点研制单体能量密度达到300瓦时/千克的高能量密度车用动力电池、满足车辆低温工作环境的宽温域高性能动力电池，加快突破单体批量化生产及系统集成关键技术，开展正负极材料、高性能隔膜及功能性电解液等关键材料产业化。</w:t>
      </w:r>
    </w:p>
    <w:p>
      <w:pPr>
        <w:pStyle w:val="14"/>
        <w:widowControl w:val="0"/>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shd w:val="clear" w:color="auto" w:fill="FFFFFF"/>
        </w:rPr>
        <w:t>（3）动力电池高效循环利用项目。</w:t>
      </w:r>
      <w:r>
        <w:rPr>
          <w:rFonts w:ascii="Times New Roman" w:hAnsi="Times New Roman" w:eastAsia="仿宋_GB2312" w:cs="Times New Roman"/>
          <w:kern w:val="2"/>
          <w:sz w:val="32"/>
          <w:szCs w:val="32"/>
        </w:rPr>
        <w:t xml:space="preserve">引进动力电池回收项目，研发动力电池单体、模组、系统的自动化拆解先进工艺及专用设备，开展镍、钴、锰等资源的高效利用，推动隔膜、电解液无害化处理，建立电池后处理综合信息数据库。 </w:t>
      </w:r>
    </w:p>
    <w:p>
      <w:pPr>
        <w:pStyle w:val="14"/>
        <w:widowControl w:val="0"/>
        <w:spacing w:line="580" w:lineRule="exact"/>
        <w:ind w:firstLine="642" w:firstLineChars="200"/>
        <w:jc w:val="both"/>
        <w:outlineLvl w:val="2"/>
        <w:rPr>
          <w:rFonts w:ascii="Times New Roman" w:hAnsi="Times New Roman" w:eastAsia="仿宋_GB2312" w:cs="Times New Roman"/>
          <w:b/>
          <w:bCs/>
          <w:kern w:val="2"/>
          <w:sz w:val="32"/>
          <w:szCs w:val="32"/>
        </w:rPr>
      </w:pPr>
      <w:bookmarkStart w:id="89" w:name="_Toc32261"/>
      <w:bookmarkStart w:id="90" w:name="_Toc9316"/>
      <w:bookmarkStart w:id="91" w:name="_Toc18245"/>
      <w:bookmarkStart w:id="92" w:name="_Toc10536"/>
      <w:bookmarkStart w:id="93" w:name="_Toc19310"/>
      <w:bookmarkStart w:id="94" w:name="_Toc15448"/>
      <w:bookmarkStart w:id="95" w:name="_Toc20827"/>
      <w:bookmarkStart w:id="96" w:name="_Toc13767"/>
      <w:bookmarkStart w:id="97" w:name="_Toc1818"/>
      <w:r>
        <w:rPr>
          <w:rFonts w:ascii="Times New Roman" w:hAnsi="Times New Roman" w:eastAsia="仿宋_GB2312" w:cs="Times New Roman"/>
          <w:b/>
          <w:bCs/>
          <w:kern w:val="2"/>
          <w:sz w:val="32"/>
          <w:szCs w:val="32"/>
        </w:rPr>
        <w:t>3.新材料关键技术产业化</w:t>
      </w:r>
      <w:bookmarkEnd w:id="89"/>
      <w:bookmarkEnd w:id="90"/>
      <w:bookmarkEnd w:id="91"/>
      <w:bookmarkEnd w:id="92"/>
      <w:bookmarkEnd w:id="93"/>
      <w:bookmarkEnd w:id="94"/>
      <w:bookmarkEnd w:id="95"/>
      <w:bookmarkEnd w:id="96"/>
      <w:bookmarkEnd w:id="97"/>
    </w:p>
    <w:p>
      <w:pPr>
        <w:pStyle w:val="14"/>
        <w:widowControl w:val="0"/>
        <w:spacing w:line="580" w:lineRule="exact"/>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shd w:val="clear" w:color="auto" w:fill="FFFFFF"/>
        </w:rPr>
        <w:t xml:space="preserve">    （1）先进金属及非金属材料：</w:t>
      </w:r>
      <w:r>
        <w:rPr>
          <w:rFonts w:ascii="Times New Roman" w:hAnsi="Times New Roman" w:eastAsia="仿宋_GB2312" w:cs="Times New Roman"/>
          <w:kern w:val="2"/>
          <w:sz w:val="32"/>
          <w:szCs w:val="32"/>
        </w:rPr>
        <w:t>重点发展汽车用超高强钢板及零部件用钢、高性能硅钢、发动机用高温合金材料、大型压铸模用热作模具钢等钢铁材料产品；发展航空用轻合金、高端稀土功能等有色金属材料产品；发展高性能氮化硅、碳化硼陶瓷等无机非金属材料产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812"/>
        <w:gridCol w:w="6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738" w:type="dxa"/>
            <w:noWrap w:val="0"/>
            <w:vAlign w:val="center"/>
          </w:tcPr>
          <w:p>
            <w:pPr>
              <w:pStyle w:val="14"/>
              <w:widowControl w:val="0"/>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序号</w:t>
            </w:r>
          </w:p>
        </w:tc>
        <w:tc>
          <w:tcPr>
            <w:tcW w:w="1812" w:type="dxa"/>
            <w:noWrap w:val="0"/>
            <w:vAlign w:val="center"/>
          </w:tcPr>
          <w:p>
            <w:pPr>
              <w:pStyle w:val="14"/>
              <w:widowControl w:val="0"/>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产</w:t>
            </w:r>
            <w:r>
              <w:rPr>
                <w:rFonts w:ascii="Times New Roman" w:hAnsi="Times New Roman" w:cs="Times New Roman"/>
                <w:sz w:val="21"/>
                <w:szCs w:val="21"/>
              </w:rPr>
              <w:t xml:space="preserve"> </w:t>
            </w:r>
            <w:r>
              <w:rPr>
                <w:rFonts w:ascii="Times New Roman" w:hAnsi="Times New Roman" w:eastAsia="仿宋_GB2312" w:cs="Times New Roman"/>
                <w:sz w:val="21"/>
                <w:szCs w:val="21"/>
              </w:rPr>
              <w:t>品</w:t>
            </w:r>
          </w:p>
        </w:tc>
        <w:tc>
          <w:tcPr>
            <w:tcW w:w="6738" w:type="dxa"/>
            <w:noWrap w:val="0"/>
            <w:vAlign w:val="center"/>
          </w:tcPr>
          <w:p>
            <w:pPr>
              <w:pStyle w:val="14"/>
              <w:widowControl w:val="0"/>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主</w:t>
            </w:r>
            <w:r>
              <w:rPr>
                <w:rFonts w:ascii="Times New Roman" w:hAnsi="Times New Roman" w:cs="Times New Roman"/>
                <w:sz w:val="21"/>
                <w:szCs w:val="21"/>
              </w:rPr>
              <w:t xml:space="preserve"> </w:t>
            </w:r>
            <w:r>
              <w:rPr>
                <w:rFonts w:ascii="Times New Roman" w:hAnsi="Times New Roman" w:eastAsia="仿宋_GB2312" w:cs="Times New Roman"/>
                <w:sz w:val="21"/>
                <w:szCs w:val="21"/>
              </w:rPr>
              <w:t>要</w:t>
            </w:r>
            <w:r>
              <w:rPr>
                <w:rFonts w:ascii="Times New Roman" w:hAnsi="Times New Roman" w:cs="Times New Roman"/>
                <w:sz w:val="21"/>
                <w:szCs w:val="21"/>
              </w:rPr>
              <w:t xml:space="preserve"> </w:t>
            </w:r>
            <w:r>
              <w:rPr>
                <w:rFonts w:ascii="Times New Roman" w:hAnsi="Times New Roman" w:eastAsia="仿宋_GB2312" w:cs="Times New Roman"/>
                <w:sz w:val="21"/>
                <w:szCs w:val="21"/>
              </w:rPr>
              <w:t>指</w:t>
            </w:r>
            <w:r>
              <w:rPr>
                <w:rFonts w:ascii="Times New Roman" w:hAnsi="Times New Roman" w:cs="Times New Roman"/>
                <w:sz w:val="21"/>
                <w:szCs w:val="21"/>
              </w:rPr>
              <w:t xml:space="preserve"> </w:t>
            </w:r>
            <w:r>
              <w:rPr>
                <w:rFonts w:ascii="Times New Roman" w:hAnsi="Times New Roman" w:eastAsia="仿宋_GB2312" w:cs="Times New Roman"/>
                <w:sz w:val="21"/>
                <w:szCs w:val="21"/>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8" w:hRule="atLeast"/>
        </w:trPr>
        <w:tc>
          <w:tcPr>
            <w:tcW w:w="738" w:type="dxa"/>
            <w:noWrap w:val="0"/>
            <w:vAlign w:val="center"/>
          </w:tcPr>
          <w:p>
            <w:pPr>
              <w:pStyle w:val="14"/>
              <w:widowControl w:val="0"/>
              <w:spacing w:line="240" w:lineRule="exact"/>
              <w:jc w:val="center"/>
              <w:rPr>
                <w:rFonts w:ascii="Times New Roman" w:hAnsi="Times New Roman" w:eastAsia="仿宋_GB2312" w:cs="Times New Roman"/>
                <w:color w:val="000000"/>
                <w:sz w:val="21"/>
                <w:szCs w:val="21"/>
                <w:shd w:val="clear" w:color="auto" w:fill="FFFFFF"/>
              </w:rPr>
            </w:pPr>
            <w:r>
              <w:rPr>
                <w:rFonts w:ascii="Times New Roman" w:hAnsi="Times New Roman" w:eastAsia="仿宋_GB2312" w:cs="Times New Roman"/>
                <w:color w:val="000000"/>
                <w:sz w:val="21"/>
                <w:szCs w:val="21"/>
                <w:shd w:val="clear" w:color="auto" w:fill="FFFFFF"/>
              </w:rPr>
              <w:t>1</w:t>
            </w:r>
          </w:p>
        </w:tc>
        <w:tc>
          <w:tcPr>
            <w:tcW w:w="1812" w:type="dxa"/>
            <w:noWrap w:val="0"/>
            <w:vAlign w:val="center"/>
          </w:tcPr>
          <w:p>
            <w:pPr>
              <w:pStyle w:val="14"/>
              <w:widowControl w:val="0"/>
              <w:spacing w:line="240" w:lineRule="exact"/>
              <w:jc w:val="center"/>
              <w:rPr>
                <w:rFonts w:ascii="Times New Roman" w:hAnsi="Times New Roman" w:eastAsia="仿宋_GB2312" w:cs="Times New Roman"/>
                <w:color w:val="000000"/>
                <w:sz w:val="21"/>
                <w:szCs w:val="21"/>
                <w:shd w:val="clear" w:color="auto" w:fill="FFFFFF"/>
              </w:rPr>
            </w:pPr>
            <w:r>
              <w:rPr>
                <w:rFonts w:ascii="Times New Roman" w:hAnsi="Times New Roman" w:eastAsia="仿宋_GB2312" w:cs="Times New Roman"/>
                <w:sz w:val="21"/>
                <w:szCs w:val="21"/>
              </w:rPr>
              <w:t xml:space="preserve">大型压铸模用 </w:t>
            </w:r>
            <w:r>
              <w:rPr>
                <w:rFonts w:ascii="Times New Roman" w:hAnsi="Times New Roman" w:cs="Times New Roman"/>
                <w:sz w:val="21"/>
                <w:szCs w:val="21"/>
              </w:rPr>
              <w:t xml:space="preserve"> </w:t>
            </w:r>
            <w:r>
              <w:rPr>
                <w:rFonts w:ascii="Times New Roman" w:hAnsi="Times New Roman" w:eastAsia="仿宋_GB2312" w:cs="Times New Roman"/>
                <w:sz w:val="21"/>
                <w:szCs w:val="21"/>
              </w:rPr>
              <w:t>热作模具钢</w:t>
            </w:r>
          </w:p>
        </w:tc>
        <w:tc>
          <w:tcPr>
            <w:tcW w:w="6738" w:type="dxa"/>
            <w:noWrap w:val="0"/>
            <w:vAlign w:val="top"/>
          </w:tcPr>
          <w:p>
            <w:pPr>
              <w:pStyle w:val="14"/>
              <w:widowControl w:val="0"/>
              <w:spacing w:line="240" w:lineRule="exact"/>
              <w:rPr>
                <w:rFonts w:ascii="Times New Roman" w:hAnsi="Times New Roman" w:eastAsia="仿宋_GB2312" w:cs="Times New Roman"/>
                <w:color w:val="000000"/>
                <w:sz w:val="21"/>
                <w:szCs w:val="21"/>
                <w:shd w:val="clear" w:color="auto" w:fill="FFFFFF"/>
              </w:rPr>
            </w:pPr>
            <w:r>
              <w:rPr>
                <w:rFonts w:ascii="Times New Roman" w:hAnsi="Times New Roman" w:eastAsia="仿宋_GB2312" w:cs="Times New Roman"/>
                <w:sz w:val="21"/>
                <w:szCs w:val="21"/>
              </w:rPr>
              <w:t>横向心部 V 型缺口冲击功≥19J，等向性（横向和纵向比）≥0.85， S≤0.002%、P≤0.010%，A、C 类夹杂物≤0.5 级，B、D 类夹杂物细系≤1.5 级、粗系≤1.0 级，大型压铸模具使用寿命达到 10 万次以上。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7" w:hRule="atLeast"/>
        </w:trPr>
        <w:tc>
          <w:tcPr>
            <w:tcW w:w="738" w:type="dxa"/>
            <w:noWrap w:val="0"/>
            <w:vAlign w:val="center"/>
          </w:tcPr>
          <w:p>
            <w:pPr>
              <w:pStyle w:val="14"/>
              <w:widowControl w:val="0"/>
              <w:spacing w:line="240" w:lineRule="exact"/>
              <w:jc w:val="center"/>
              <w:rPr>
                <w:rFonts w:ascii="Times New Roman" w:hAnsi="Times New Roman" w:eastAsia="仿宋_GB2312" w:cs="Times New Roman"/>
                <w:color w:val="000000"/>
                <w:sz w:val="21"/>
                <w:szCs w:val="21"/>
                <w:shd w:val="clear" w:color="auto" w:fill="FFFFFF"/>
              </w:rPr>
            </w:pPr>
            <w:r>
              <w:rPr>
                <w:rFonts w:ascii="Times New Roman" w:hAnsi="Times New Roman" w:eastAsia="仿宋_GB2312" w:cs="Times New Roman"/>
                <w:color w:val="000000"/>
                <w:sz w:val="21"/>
                <w:szCs w:val="21"/>
                <w:shd w:val="clear" w:color="auto" w:fill="FFFFFF"/>
              </w:rPr>
              <w:t>2</w:t>
            </w:r>
          </w:p>
        </w:tc>
        <w:tc>
          <w:tcPr>
            <w:tcW w:w="1812" w:type="dxa"/>
            <w:noWrap w:val="0"/>
            <w:vAlign w:val="center"/>
          </w:tcPr>
          <w:p>
            <w:pPr>
              <w:pStyle w:val="14"/>
              <w:widowControl w:val="0"/>
              <w:spacing w:line="240" w:lineRule="exact"/>
              <w:jc w:val="center"/>
              <w:rPr>
                <w:rFonts w:ascii="Times New Roman" w:hAnsi="Times New Roman" w:eastAsia="仿宋_GB2312" w:cs="Times New Roman"/>
                <w:color w:val="000000"/>
                <w:sz w:val="21"/>
                <w:szCs w:val="21"/>
                <w:shd w:val="clear" w:color="auto" w:fill="FFFFFF"/>
              </w:rPr>
            </w:pPr>
            <w:r>
              <w:rPr>
                <w:rFonts w:ascii="Times New Roman" w:hAnsi="Times New Roman" w:eastAsia="仿宋_GB2312" w:cs="Times New Roman"/>
                <w:sz w:val="21"/>
                <w:szCs w:val="21"/>
              </w:rPr>
              <w:t>高性能硅钢</w:t>
            </w:r>
          </w:p>
        </w:tc>
        <w:tc>
          <w:tcPr>
            <w:tcW w:w="6738" w:type="dxa"/>
            <w:noWrap w:val="0"/>
            <w:vAlign w:val="top"/>
          </w:tcPr>
          <w:p>
            <w:pPr>
              <w:pStyle w:val="14"/>
              <w:widowControl w:val="0"/>
              <w:spacing w:line="240" w:lineRule="exact"/>
              <w:rPr>
                <w:rFonts w:ascii="Times New Roman" w:hAnsi="Times New Roman" w:eastAsia="仿宋_GB2312" w:cs="Times New Roman"/>
                <w:color w:val="000000"/>
                <w:sz w:val="21"/>
                <w:szCs w:val="21"/>
                <w:shd w:val="clear" w:color="auto" w:fill="FFFFFF"/>
              </w:rPr>
            </w:pPr>
            <w:r>
              <w:rPr>
                <w:rFonts w:ascii="Times New Roman" w:hAnsi="Times New Roman" w:eastAsia="仿宋_GB2312" w:cs="Times New Roman"/>
                <w:sz w:val="21"/>
                <w:szCs w:val="21"/>
              </w:rPr>
              <w:t>（1）取向硅钢：厚度 0.18mm、P17/50≤0.65W/kg，厚度 0.20mm、 P17/50≤0.70W/kg。 （2）0.18mm 以下高牌号无取向电工钢。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noWrap w:val="0"/>
            <w:vAlign w:val="center"/>
          </w:tcPr>
          <w:p>
            <w:pPr>
              <w:pStyle w:val="14"/>
              <w:widowControl w:val="0"/>
              <w:spacing w:line="240" w:lineRule="exact"/>
              <w:jc w:val="center"/>
              <w:rPr>
                <w:rFonts w:ascii="Times New Roman" w:hAnsi="Times New Roman" w:eastAsia="仿宋_GB2312" w:cs="Times New Roman"/>
                <w:color w:val="000000"/>
                <w:sz w:val="21"/>
                <w:szCs w:val="21"/>
                <w:shd w:val="clear" w:color="auto" w:fill="FFFFFF"/>
              </w:rPr>
            </w:pPr>
            <w:r>
              <w:rPr>
                <w:rFonts w:ascii="Times New Roman" w:hAnsi="Times New Roman" w:eastAsia="仿宋_GB2312" w:cs="Times New Roman"/>
                <w:color w:val="000000"/>
                <w:sz w:val="21"/>
                <w:szCs w:val="21"/>
                <w:shd w:val="clear" w:color="auto" w:fill="FFFFFF"/>
              </w:rPr>
              <w:t>3</w:t>
            </w:r>
          </w:p>
        </w:tc>
        <w:tc>
          <w:tcPr>
            <w:tcW w:w="1812" w:type="dxa"/>
            <w:noWrap w:val="0"/>
            <w:vAlign w:val="center"/>
          </w:tcPr>
          <w:p>
            <w:pPr>
              <w:pStyle w:val="14"/>
              <w:widowControl w:val="0"/>
              <w:spacing w:line="240" w:lineRule="exact"/>
              <w:jc w:val="center"/>
              <w:rPr>
                <w:rFonts w:ascii="Times New Roman" w:hAnsi="Times New Roman" w:eastAsia="仿宋_GB2312" w:cs="Times New Roman"/>
                <w:color w:val="000000"/>
                <w:sz w:val="21"/>
                <w:szCs w:val="21"/>
                <w:shd w:val="clear" w:color="auto" w:fill="FFFFFF"/>
              </w:rPr>
            </w:pPr>
            <w:r>
              <w:rPr>
                <w:rFonts w:ascii="Times New Roman" w:hAnsi="Times New Roman" w:eastAsia="仿宋_GB2312" w:cs="Times New Roman"/>
                <w:sz w:val="21"/>
                <w:szCs w:val="21"/>
              </w:rPr>
              <w:t xml:space="preserve">发动机用高温 </w:t>
            </w:r>
            <w:r>
              <w:rPr>
                <w:rFonts w:ascii="Times New Roman" w:hAnsi="Times New Roman" w:cs="Times New Roman"/>
                <w:sz w:val="21"/>
                <w:szCs w:val="21"/>
              </w:rPr>
              <w:t xml:space="preserve"> 铝</w:t>
            </w:r>
            <w:r>
              <w:rPr>
                <w:rFonts w:ascii="Times New Roman" w:hAnsi="Times New Roman" w:eastAsia="仿宋_GB2312" w:cs="Times New Roman"/>
                <w:sz w:val="21"/>
                <w:szCs w:val="21"/>
              </w:rPr>
              <w:t>合金材料</w:t>
            </w:r>
          </w:p>
        </w:tc>
        <w:tc>
          <w:tcPr>
            <w:tcW w:w="6738" w:type="dxa"/>
            <w:noWrap w:val="0"/>
            <w:vAlign w:val="top"/>
          </w:tcPr>
          <w:p>
            <w:pPr>
              <w:pStyle w:val="14"/>
              <w:widowControl w:val="0"/>
              <w:spacing w:line="240" w:lineRule="exact"/>
              <w:rPr>
                <w:rFonts w:ascii="Times New Roman" w:hAnsi="Times New Roman" w:eastAsia="仿宋_GB2312" w:cs="Times New Roman"/>
                <w:color w:val="000000"/>
                <w:sz w:val="21"/>
                <w:szCs w:val="21"/>
                <w:shd w:val="clear" w:color="auto" w:fill="FFFFFF"/>
              </w:rPr>
            </w:pPr>
            <w:r>
              <w:rPr>
                <w:rFonts w:ascii="Times New Roman" w:hAnsi="Times New Roman" w:eastAsia="仿宋_GB2312" w:cs="Times New Roman"/>
                <w:sz w:val="21"/>
                <w:szCs w:val="21"/>
              </w:rPr>
              <w:t>（1）高温合金棒材：最大直径&gt;350mm，晶粒度 7-9 级，Φ0.8mm 平底 孔超声波水浸探伤杂波低于-16db，N、S 总含量&lt;10ppm，Bi、Tl、Se、 Te 总含量&lt;5ppm。 （2）高温合金粉末：粒度 45～106μm，收得率&gt;70%，球形度&gt;99%， 增氧量&lt;50ppm，非金属夹杂个数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noWrap w:val="0"/>
            <w:vAlign w:val="center"/>
          </w:tcPr>
          <w:p>
            <w:pPr>
              <w:pStyle w:val="14"/>
              <w:widowControl w:val="0"/>
              <w:spacing w:line="240" w:lineRule="exact"/>
              <w:jc w:val="center"/>
              <w:rPr>
                <w:rFonts w:ascii="Times New Roman" w:hAnsi="Times New Roman" w:eastAsia="仿宋_GB2312" w:cs="Times New Roman"/>
                <w:color w:val="000000"/>
                <w:sz w:val="21"/>
                <w:szCs w:val="21"/>
                <w:shd w:val="clear" w:color="auto" w:fill="FFFFFF"/>
              </w:rPr>
            </w:pPr>
            <w:r>
              <w:rPr>
                <w:rFonts w:ascii="Times New Roman" w:hAnsi="Times New Roman" w:cs="Times New Roman"/>
                <w:color w:val="000000"/>
                <w:sz w:val="21"/>
                <w:szCs w:val="21"/>
                <w:shd w:val="clear" w:color="auto" w:fill="FFFFFF"/>
              </w:rPr>
              <w:t>4</w:t>
            </w:r>
          </w:p>
        </w:tc>
        <w:tc>
          <w:tcPr>
            <w:tcW w:w="1812" w:type="dxa"/>
            <w:noWrap w:val="0"/>
            <w:vAlign w:val="center"/>
          </w:tcPr>
          <w:p>
            <w:pPr>
              <w:pStyle w:val="14"/>
              <w:widowControl w:val="0"/>
              <w:spacing w:line="240" w:lineRule="exact"/>
              <w:jc w:val="center"/>
              <w:rPr>
                <w:rFonts w:ascii="Times New Roman" w:hAnsi="Times New Roman" w:eastAsia="仿宋_GB2312" w:cs="Times New Roman"/>
                <w:color w:val="000000"/>
                <w:sz w:val="21"/>
                <w:szCs w:val="21"/>
                <w:shd w:val="clear" w:color="auto" w:fill="FFFFFF"/>
              </w:rPr>
            </w:pPr>
            <w:r>
              <w:rPr>
                <w:rFonts w:ascii="Times New Roman" w:hAnsi="Times New Roman" w:eastAsia="仿宋_GB2312" w:cs="Times New Roman"/>
                <w:sz w:val="21"/>
                <w:szCs w:val="21"/>
              </w:rPr>
              <w:t>航空用轻合金   材 料</w:t>
            </w:r>
          </w:p>
        </w:tc>
        <w:tc>
          <w:tcPr>
            <w:tcW w:w="6738" w:type="dxa"/>
            <w:noWrap w:val="0"/>
            <w:vAlign w:val="top"/>
          </w:tcPr>
          <w:p>
            <w:pPr>
              <w:pStyle w:val="14"/>
              <w:widowControl w:val="0"/>
              <w:spacing w:line="240" w:lineRule="exact"/>
              <w:rPr>
                <w:rFonts w:ascii="Times New Roman" w:hAnsi="Times New Roman" w:eastAsia="仿宋_GB2312" w:cs="Times New Roman"/>
                <w:color w:val="000000"/>
                <w:sz w:val="21"/>
                <w:szCs w:val="21"/>
                <w:shd w:val="clear" w:color="auto" w:fill="FFFFFF"/>
              </w:rPr>
            </w:pPr>
            <w:r>
              <w:rPr>
                <w:rFonts w:ascii="Times New Roman" w:hAnsi="Times New Roman" w:eastAsia="仿宋_GB2312" w:cs="Times New Roman"/>
                <w:sz w:val="21"/>
                <w:szCs w:val="21"/>
              </w:rPr>
              <w:t>（1）航空用钛合金挤压型材：T 形、L 形、U 形、Z 形等典型截面， 中强级别成品的室温抗拉强度≥900MPa、伸长率≥10%，高强级别成品 室温抗拉强度≥1150MPa、伸长率≥10%。 （2）大规格蒙皮铝合金板：纵向抗拉强度≥469MPa、屈服强度 ≥427MPa、伸长率≥8%，横向抗拉强度≥462MPa、屈服强度≥407MPa、 伸长率≥9%。 （3）预拉伸铝合金厚板：厚度 20～50mm，纵向抗拉强度≥510MPa、屈服 强 度 ≥441MPa 、伸长率 ≥10% ，横向抗拉强度 ≥510MPa 、屈服强度 ≥441MPa、伸长率≥9%。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noWrap w:val="0"/>
            <w:vAlign w:val="center"/>
          </w:tcPr>
          <w:p>
            <w:pPr>
              <w:pStyle w:val="14"/>
              <w:widowControl w:val="0"/>
              <w:spacing w:line="240" w:lineRule="exact"/>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5</w:t>
            </w:r>
          </w:p>
        </w:tc>
        <w:tc>
          <w:tcPr>
            <w:tcW w:w="1812" w:type="dxa"/>
            <w:noWrap w:val="0"/>
            <w:vAlign w:val="center"/>
          </w:tcPr>
          <w:p>
            <w:pPr>
              <w:pStyle w:val="14"/>
              <w:widowControl w:val="0"/>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高性能氮化硅陶瓷材料</w:t>
            </w:r>
          </w:p>
        </w:tc>
        <w:tc>
          <w:tcPr>
            <w:tcW w:w="6738" w:type="dxa"/>
            <w:noWrap w:val="0"/>
            <w:vAlign w:val="top"/>
          </w:tcPr>
          <w:p>
            <w:pPr>
              <w:pStyle w:val="14"/>
              <w:widowControl w:val="0"/>
              <w:spacing w:line="240" w:lineRule="exact"/>
              <w:rPr>
                <w:rFonts w:ascii="Times New Roman" w:hAnsi="Times New Roman" w:eastAsia="仿宋_GB2312" w:cs="Times New Roman"/>
                <w:sz w:val="21"/>
                <w:szCs w:val="21"/>
              </w:rPr>
            </w:pPr>
            <w:r>
              <w:rPr>
                <w:rFonts w:ascii="Times New Roman" w:hAnsi="Times New Roman" w:eastAsia="仿宋_GB2312" w:cs="Times New Roman"/>
                <w:sz w:val="21"/>
                <w:szCs w:val="21"/>
              </w:rPr>
              <w:t>相对密度≥98.0%，维氏硬度≥14.2GPa，弯曲强度≥700MPa（室温），断裂韧性≥6.5MPa·m1/2，热导率≥20W/m·K（室温），抗击穿电压≥3.0 kV/mm。</w:t>
            </w:r>
          </w:p>
        </w:tc>
      </w:tr>
    </w:tbl>
    <w:p>
      <w:pPr>
        <w:spacing w:line="620" w:lineRule="exact"/>
        <w:rPr>
          <w:szCs w:val="32"/>
        </w:rPr>
      </w:pPr>
      <w:r>
        <w:rPr>
          <w:kern w:val="0"/>
          <w:szCs w:val="32"/>
          <w:shd w:val="clear" w:color="auto" w:fill="FFFFFF"/>
        </w:rPr>
        <w:t xml:space="preserve">    （2）先进有机材料：</w:t>
      </w:r>
      <w:r>
        <w:rPr>
          <w:szCs w:val="32"/>
        </w:rPr>
        <w:t>重点发展乙烯-醋酸乙烯共聚树脂（EVA）、聚烯烃弹性体（POE）、热塑性聚烯烃弹性体（TPO）、聚碳酸酯、特种聚酯等高端聚烯烃树脂产品，发展高碳α烯烃、乙醇胺、乙撑胺、丁醇、辛醇、环氧丙烷、丙烯酸、苯酚、丙酮、碳酸二甲酯等有机原料或有机溶剂，实现与石油路线聚烯烃的差别化竞争。</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812"/>
        <w:gridCol w:w="6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noWrap w:val="0"/>
            <w:vAlign w:val="center"/>
          </w:tcPr>
          <w:p>
            <w:pPr>
              <w:pStyle w:val="14"/>
              <w:widowControl w:val="0"/>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序号</w:t>
            </w:r>
          </w:p>
        </w:tc>
        <w:tc>
          <w:tcPr>
            <w:tcW w:w="1812" w:type="dxa"/>
            <w:noWrap w:val="0"/>
            <w:vAlign w:val="center"/>
          </w:tcPr>
          <w:p>
            <w:pPr>
              <w:pStyle w:val="14"/>
              <w:widowControl w:val="0"/>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产</w:t>
            </w:r>
            <w:r>
              <w:rPr>
                <w:rFonts w:ascii="Times New Roman" w:hAnsi="Times New Roman" w:cs="Times New Roman"/>
                <w:sz w:val="21"/>
                <w:szCs w:val="21"/>
              </w:rPr>
              <w:t xml:space="preserve"> </w:t>
            </w:r>
            <w:r>
              <w:rPr>
                <w:rFonts w:ascii="Times New Roman" w:hAnsi="Times New Roman" w:eastAsia="仿宋_GB2312" w:cs="Times New Roman"/>
                <w:sz w:val="21"/>
                <w:szCs w:val="21"/>
              </w:rPr>
              <w:t>品</w:t>
            </w:r>
          </w:p>
        </w:tc>
        <w:tc>
          <w:tcPr>
            <w:tcW w:w="6738" w:type="dxa"/>
            <w:noWrap w:val="0"/>
            <w:vAlign w:val="center"/>
          </w:tcPr>
          <w:p>
            <w:pPr>
              <w:pStyle w:val="14"/>
              <w:widowControl w:val="0"/>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主</w:t>
            </w:r>
            <w:r>
              <w:rPr>
                <w:rFonts w:ascii="Times New Roman" w:hAnsi="Times New Roman" w:cs="Times New Roman"/>
                <w:sz w:val="21"/>
                <w:szCs w:val="21"/>
              </w:rPr>
              <w:t xml:space="preserve"> </w:t>
            </w:r>
            <w:r>
              <w:rPr>
                <w:rFonts w:ascii="Times New Roman" w:hAnsi="Times New Roman" w:eastAsia="仿宋_GB2312" w:cs="Times New Roman"/>
                <w:sz w:val="21"/>
                <w:szCs w:val="21"/>
              </w:rPr>
              <w:t>要</w:t>
            </w:r>
            <w:r>
              <w:rPr>
                <w:rFonts w:ascii="Times New Roman" w:hAnsi="Times New Roman" w:cs="Times New Roman"/>
                <w:sz w:val="21"/>
                <w:szCs w:val="21"/>
              </w:rPr>
              <w:t xml:space="preserve"> </w:t>
            </w:r>
            <w:r>
              <w:rPr>
                <w:rFonts w:ascii="Times New Roman" w:hAnsi="Times New Roman" w:eastAsia="仿宋_GB2312" w:cs="Times New Roman"/>
                <w:sz w:val="21"/>
                <w:szCs w:val="21"/>
              </w:rPr>
              <w:t>指</w:t>
            </w:r>
            <w:r>
              <w:rPr>
                <w:rFonts w:ascii="Times New Roman" w:hAnsi="Times New Roman" w:cs="Times New Roman"/>
                <w:sz w:val="21"/>
                <w:szCs w:val="21"/>
              </w:rPr>
              <w:t xml:space="preserve"> </w:t>
            </w:r>
            <w:r>
              <w:rPr>
                <w:rFonts w:ascii="Times New Roman" w:hAnsi="Times New Roman" w:eastAsia="仿宋_GB2312" w:cs="Times New Roman"/>
                <w:sz w:val="21"/>
                <w:szCs w:val="21"/>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noWrap w:val="0"/>
            <w:vAlign w:val="center"/>
          </w:tcPr>
          <w:p>
            <w:pPr>
              <w:pStyle w:val="14"/>
              <w:widowControl w:val="0"/>
              <w:spacing w:line="300" w:lineRule="exact"/>
              <w:jc w:val="center"/>
              <w:rPr>
                <w:rFonts w:ascii="Times New Roman" w:hAnsi="Times New Roman" w:eastAsia="仿宋_GB2312" w:cs="Times New Roman"/>
                <w:color w:val="000000"/>
                <w:sz w:val="21"/>
                <w:szCs w:val="21"/>
                <w:shd w:val="clear" w:color="auto" w:fill="FFFFFF"/>
              </w:rPr>
            </w:pPr>
            <w:r>
              <w:rPr>
                <w:rFonts w:ascii="Times New Roman" w:hAnsi="Times New Roman" w:eastAsia="仿宋_GB2312" w:cs="Times New Roman"/>
                <w:color w:val="000000"/>
                <w:sz w:val="21"/>
                <w:szCs w:val="21"/>
                <w:shd w:val="clear" w:color="auto" w:fill="FFFFFF"/>
              </w:rPr>
              <w:t>1</w:t>
            </w:r>
          </w:p>
        </w:tc>
        <w:tc>
          <w:tcPr>
            <w:tcW w:w="1812" w:type="dxa"/>
            <w:noWrap w:val="0"/>
            <w:vAlign w:val="center"/>
          </w:tcPr>
          <w:p>
            <w:pPr>
              <w:pStyle w:val="14"/>
              <w:widowControl w:val="0"/>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聚碳酸酯</w:t>
            </w:r>
          </w:p>
        </w:tc>
        <w:tc>
          <w:tcPr>
            <w:tcW w:w="6738" w:type="dxa"/>
            <w:noWrap w:val="0"/>
            <w:vAlign w:val="top"/>
          </w:tcPr>
          <w:p>
            <w:pPr>
              <w:pStyle w:val="14"/>
              <w:widowControl w:val="0"/>
              <w:spacing w:line="300" w:lineRule="exact"/>
              <w:rPr>
                <w:rFonts w:ascii="Times New Roman" w:hAnsi="Times New Roman" w:eastAsia="仿宋_GB2312" w:cs="Times New Roman"/>
                <w:sz w:val="21"/>
                <w:szCs w:val="21"/>
              </w:rPr>
            </w:pPr>
            <w:r>
              <w:rPr>
                <w:rFonts w:ascii="Times New Roman" w:hAnsi="Times New Roman" w:eastAsia="仿宋_GB2312" w:cs="Times New Roman"/>
                <w:sz w:val="21"/>
                <w:szCs w:val="21"/>
              </w:rPr>
              <w:t>具有高透明性、耐冲击性和尺寸稳定性，2mm薄板可见光透过率达90%，熔程220～240℃。光气法工艺的单套装置规模达到6万吨/年；非光气法工艺的单套装置规模达到10万吨/年。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7" w:hRule="atLeast"/>
        </w:trPr>
        <w:tc>
          <w:tcPr>
            <w:tcW w:w="738" w:type="dxa"/>
            <w:noWrap w:val="0"/>
            <w:vAlign w:val="center"/>
          </w:tcPr>
          <w:p>
            <w:pPr>
              <w:pStyle w:val="14"/>
              <w:widowControl w:val="0"/>
              <w:spacing w:line="300" w:lineRule="exact"/>
              <w:jc w:val="center"/>
              <w:rPr>
                <w:rFonts w:ascii="Times New Roman" w:hAnsi="Times New Roman" w:eastAsia="仿宋_GB2312" w:cs="Times New Roman"/>
                <w:color w:val="000000"/>
                <w:sz w:val="21"/>
                <w:szCs w:val="21"/>
                <w:shd w:val="clear" w:color="auto" w:fill="FFFFFF"/>
              </w:rPr>
            </w:pPr>
            <w:r>
              <w:rPr>
                <w:rFonts w:ascii="Times New Roman" w:hAnsi="Times New Roman" w:eastAsia="仿宋_GB2312" w:cs="Times New Roman"/>
                <w:color w:val="000000"/>
                <w:sz w:val="21"/>
                <w:szCs w:val="21"/>
                <w:shd w:val="clear" w:color="auto" w:fill="FFFFFF"/>
              </w:rPr>
              <w:t>2</w:t>
            </w:r>
          </w:p>
        </w:tc>
        <w:tc>
          <w:tcPr>
            <w:tcW w:w="1812" w:type="dxa"/>
            <w:noWrap w:val="0"/>
            <w:vAlign w:val="center"/>
          </w:tcPr>
          <w:p>
            <w:pPr>
              <w:pStyle w:val="14"/>
              <w:widowControl w:val="0"/>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特种聚酯及关键单体</w:t>
            </w:r>
          </w:p>
        </w:tc>
        <w:tc>
          <w:tcPr>
            <w:tcW w:w="6738" w:type="dxa"/>
            <w:noWrap w:val="0"/>
            <w:vAlign w:val="top"/>
          </w:tcPr>
          <w:p>
            <w:pPr>
              <w:pStyle w:val="14"/>
              <w:widowControl w:val="0"/>
              <w:spacing w:line="300" w:lineRule="exact"/>
              <w:rPr>
                <w:rFonts w:ascii="Times New Roman" w:hAnsi="Times New Roman" w:eastAsia="仿宋_GB2312" w:cs="Times New Roman"/>
                <w:sz w:val="21"/>
                <w:szCs w:val="21"/>
              </w:rPr>
            </w:pPr>
            <w:r>
              <w:rPr>
                <w:rFonts w:ascii="Times New Roman" w:hAnsi="Times New Roman" w:eastAsia="仿宋_GB2312" w:cs="Times New Roman"/>
                <w:sz w:val="21"/>
                <w:szCs w:val="21"/>
              </w:rPr>
              <w:t>包括PCT（聚对苯二甲酸环己烷二甲醇酯）及共聚物PETG（聚对苯二甲酸乙二醇酯-1,4-环己烷二甲醇酯）、PEN（聚2,6-萘二甲酸乙二醇酯）、以及关键单体PDO（1,3-丙二醇）、CHDM（1,4-环己烷二甲醇）、NDA（2,6-萘二甲酸）。 PCT长期使用温度达130℃，高强度，高韧性；PETG高度透明，抗冲击性能优异；PEN长期使用温度达160℃，拉伸强度&gt;74MPa，气体阻隔性好。单套装置规模达到5千吨/年。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1" w:hRule="atLeast"/>
        </w:trPr>
        <w:tc>
          <w:tcPr>
            <w:tcW w:w="738" w:type="dxa"/>
            <w:noWrap w:val="0"/>
            <w:vAlign w:val="top"/>
          </w:tcPr>
          <w:p>
            <w:pPr>
              <w:pStyle w:val="14"/>
              <w:widowControl w:val="0"/>
              <w:spacing w:line="300" w:lineRule="exact"/>
              <w:jc w:val="center"/>
              <w:rPr>
                <w:rFonts w:ascii="Times New Roman" w:hAnsi="Times New Roman" w:eastAsia="仿宋_GB2312" w:cs="Times New Roman"/>
                <w:color w:val="000000"/>
                <w:sz w:val="21"/>
                <w:szCs w:val="21"/>
                <w:shd w:val="clear" w:color="auto" w:fill="FFFFFF"/>
              </w:rPr>
            </w:pPr>
            <w:r>
              <w:rPr>
                <w:rFonts w:ascii="Times New Roman" w:hAnsi="Times New Roman" w:eastAsia="仿宋_GB2312" w:cs="Times New Roman"/>
                <w:color w:val="000000"/>
                <w:sz w:val="21"/>
                <w:szCs w:val="21"/>
                <w:shd w:val="clear" w:color="auto" w:fill="FFFFFF"/>
              </w:rPr>
              <w:t>3</w:t>
            </w:r>
          </w:p>
        </w:tc>
        <w:tc>
          <w:tcPr>
            <w:tcW w:w="1812" w:type="dxa"/>
            <w:noWrap w:val="0"/>
            <w:vAlign w:val="center"/>
          </w:tcPr>
          <w:p>
            <w:pPr>
              <w:pStyle w:val="14"/>
              <w:widowControl w:val="0"/>
              <w:spacing w:line="300" w:lineRule="exact"/>
              <w:rPr>
                <w:rFonts w:ascii="Times New Roman" w:hAnsi="Times New Roman" w:eastAsia="仿宋_GB2312" w:cs="Times New Roman"/>
                <w:sz w:val="21"/>
                <w:szCs w:val="21"/>
              </w:rPr>
            </w:pPr>
            <w:r>
              <w:rPr>
                <w:rFonts w:ascii="Times New Roman" w:hAnsi="Times New Roman" w:eastAsia="仿宋_GB2312" w:cs="Times New Roman"/>
                <w:sz w:val="21"/>
                <w:szCs w:val="21"/>
              </w:rPr>
              <w:t>高碳α烯烃</w:t>
            </w:r>
          </w:p>
        </w:tc>
        <w:tc>
          <w:tcPr>
            <w:tcW w:w="6738" w:type="dxa"/>
            <w:noWrap w:val="0"/>
            <w:vAlign w:val="top"/>
          </w:tcPr>
          <w:p>
            <w:pPr>
              <w:pStyle w:val="14"/>
              <w:widowControl w:val="0"/>
              <w:spacing w:line="300" w:lineRule="exact"/>
              <w:rPr>
                <w:rFonts w:ascii="Times New Roman" w:hAnsi="Times New Roman" w:eastAsia="仿宋_GB2312" w:cs="Times New Roman"/>
                <w:sz w:val="21"/>
                <w:szCs w:val="21"/>
              </w:rPr>
            </w:pPr>
            <w:r>
              <w:rPr>
                <w:rFonts w:ascii="Times New Roman" w:hAnsi="Times New Roman" w:eastAsia="仿宋_GB2312" w:cs="Times New Roman"/>
                <w:sz w:val="21"/>
                <w:szCs w:val="21"/>
              </w:rPr>
              <w:t>采用齐聚生产工艺，可生产碳八及以上的高碳α烯烃，单套装置规模达到5万吨/年以上。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5" w:hRule="atLeast"/>
        </w:trPr>
        <w:tc>
          <w:tcPr>
            <w:tcW w:w="738" w:type="dxa"/>
            <w:noWrap w:val="0"/>
            <w:vAlign w:val="top"/>
          </w:tcPr>
          <w:p>
            <w:pPr>
              <w:pStyle w:val="14"/>
              <w:widowControl w:val="0"/>
              <w:spacing w:line="300" w:lineRule="exact"/>
              <w:jc w:val="center"/>
              <w:rPr>
                <w:rFonts w:ascii="Times New Roman" w:hAnsi="Times New Roman" w:eastAsia="仿宋_GB2312" w:cs="Times New Roman"/>
                <w:color w:val="000000"/>
                <w:sz w:val="21"/>
                <w:szCs w:val="21"/>
                <w:shd w:val="clear" w:color="auto" w:fill="FFFFFF"/>
              </w:rPr>
            </w:pPr>
            <w:r>
              <w:rPr>
                <w:rFonts w:ascii="Times New Roman" w:hAnsi="Times New Roman" w:eastAsia="仿宋_GB2312" w:cs="Times New Roman"/>
                <w:color w:val="000000"/>
                <w:sz w:val="21"/>
                <w:szCs w:val="21"/>
                <w:shd w:val="clear" w:color="auto" w:fill="FFFFFF"/>
              </w:rPr>
              <w:t>4</w:t>
            </w:r>
          </w:p>
        </w:tc>
        <w:tc>
          <w:tcPr>
            <w:tcW w:w="1812" w:type="dxa"/>
            <w:noWrap w:val="0"/>
            <w:vAlign w:val="center"/>
          </w:tcPr>
          <w:p>
            <w:pPr>
              <w:pStyle w:val="14"/>
              <w:widowControl w:val="0"/>
              <w:spacing w:line="300" w:lineRule="exact"/>
              <w:rPr>
                <w:rFonts w:ascii="Times New Roman" w:hAnsi="Times New Roman" w:eastAsia="仿宋_GB2312" w:cs="Times New Roman"/>
                <w:sz w:val="21"/>
                <w:szCs w:val="21"/>
              </w:rPr>
            </w:pPr>
            <w:r>
              <w:rPr>
                <w:rFonts w:ascii="Times New Roman" w:hAnsi="Times New Roman" w:eastAsia="仿宋_GB2312" w:cs="Times New Roman"/>
                <w:sz w:val="21"/>
                <w:szCs w:val="21"/>
              </w:rPr>
              <w:t>乙烯和α烯烃共聚（POE）弹性体</w:t>
            </w:r>
          </w:p>
        </w:tc>
        <w:tc>
          <w:tcPr>
            <w:tcW w:w="6738" w:type="dxa"/>
            <w:noWrap w:val="0"/>
            <w:vAlign w:val="top"/>
          </w:tcPr>
          <w:p>
            <w:pPr>
              <w:pStyle w:val="14"/>
              <w:widowControl w:val="0"/>
              <w:spacing w:line="300" w:lineRule="exact"/>
              <w:rPr>
                <w:rFonts w:ascii="Times New Roman" w:hAnsi="Times New Roman" w:eastAsia="仿宋_GB2312" w:cs="Times New Roman"/>
                <w:sz w:val="21"/>
                <w:szCs w:val="21"/>
              </w:rPr>
            </w:pPr>
            <w:r>
              <w:rPr>
                <w:rFonts w:ascii="Times New Roman" w:hAnsi="Times New Roman" w:eastAsia="仿宋_GB2312" w:cs="Times New Roman"/>
                <w:sz w:val="21"/>
                <w:szCs w:val="21"/>
              </w:rPr>
              <w:t>由乙烯和α烯烃（主要是辛烯-1）通过茂金属催化剂与溶液法聚烯烃生产工艺相结合的工艺合成。单套装置规模达到万吨级/年。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noWrap w:val="0"/>
            <w:vAlign w:val="center"/>
          </w:tcPr>
          <w:p>
            <w:pPr>
              <w:pStyle w:val="14"/>
              <w:widowControl w:val="0"/>
              <w:spacing w:line="300" w:lineRule="exact"/>
              <w:jc w:val="center"/>
              <w:rPr>
                <w:rFonts w:ascii="Times New Roman" w:hAnsi="Times New Roman" w:eastAsia="仿宋_GB2312" w:cs="Times New Roman"/>
                <w:color w:val="000000"/>
                <w:sz w:val="21"/>
                <w:szCs w:val="21"/>
                <w:shd w:val="clear" w:color="auto" w:fill="FFFFFF"/>
              </w:rPr>
            </w:pPr>
            <w:r>
              <w:rPr>
                <w:rFonts w:ascii="Times New Roman" w:hAnsi="Times New Roman" w:cs="Times New Roman"/>
                <w:color w:val="000000"/>
                <w:sz w:val="21"/>
                <w:szCs w:val="21"/>
                <w:shd w:val="clear" w:color="auto" w:fill="FFFFFF"/>
              </w:rPr>
              <w:t>5</w:t>
            </w:r>
          </w:p>
        </w:tc>
        <w:tc>
          <w:tcPr>
            <w:tcW w:w="1812" w:type="dxa"/>
            <w:noWrap w:val="0"/>
            <w:vAlign w:val="center"/>
          </w:tcPr>
          <w:p>
            <w:pPr>
              <w:pStyle w:val="14"/>
              <w:widowControl w:val="0"/>
              <w:spacing w:line="300" w:lineRule="exact"/>
              <w:rPr>
                <w:rFonts w:ascii="Times New Roman" w:hAnsi="Times New Roman" w:eastAsia="仿宋_GB2312" w:cs="Times New Roman"/>
                <w:sz w:val="21"/>
                <w:szCs w:val="21"/>
              </w:rPr>
            </w:pPr>
            <w:r>
              <w:rPr>
                <w:rFonts w:ascii="Times New Roman" w:hAnsi="Times New Roman" w:eastAsia="仿宋_GB2312" w:cs="Times New Roman"/>
                <w:sz w:val="21"/>
                <w:szCs w:val="21"/>
              </w:rPr>
              <w:t>高吸水性树脂</w:t>
            </w:r>
          </w:p>
        </w:tc>
        <w:tc>
          <w:tcPr>
            <w:tcW w:w="6738" w:type="dxa"/>
            <w:noWrap w:val="0"/>
            <w:vAlign w:val="top"/>
          </w:tcPr>
          <w:p>
            <w:pPr>
              <w:pStyle w:val="14"/>
              <w:widowControl w:val="0"/>
              <w:spacing w:line="300" w:lineRule="exact"/>
              <w:rPr>
                <w:rFonts w:ascii="Times New Roman" w:hAnsi="Times New Roman" w:eastAsia="仿宋_GB2312" w:cs="Times New Roman"/>
                <w:sz w:val="21"/>
                <w:szCs w:val="21"/>
              </w:rPr>
            </w:pPr>
            <w:r>
              <w:rPr>
                <w:rFonts w:ascii="Times New Roman" w:hAnsi="Times New Roman" w:eastAsia="仿宋_GB2312" w:cs="Times New Roman"/>
                <w:sz w:val="21"/>
                <w:szCs w:val="21"/>
              </w:rPr>
              <w:t>粒度分布：＜150μm≤5%，＜106μm≤1%；吸收速度≤55s，吸收量≥50g/g，保液量≥30g/g。新建单套装置规模达到3万吨/年或现有装置升级改造。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noWrap w:val="0"/>
            <w:vAlign w:val="center"/>
          </w:tcPr>
          <w:p>
            <w:pPr>
              <w:pStyle w:val="14"/>
              <w:widowControl w:val="0"/>
              <w:spacing w:line="300" w:lineRule="exact"/>
              <w:jc w:val="center"/>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6</w:t>
            </w:r>
          </w:p>
        </w:tc>
        <w:tc>
          <w:tcPr>
            <w:tcW w:w="1812" w:type="dxa"/>
            <w:noWrap w:val="0"/>
            <w:vAlign w:val="center"/>
          </w:tcPr>
          <w:p>
            <w:pPr>
              <w:pStyle w:val="14"/>
              <w:widowControl w:val="0"/>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聚烯烃热塑性</w:t>
            </w:r>
            <w:r>
              <w:rPr>
                <w:rFonts w:ascii="Times New Roman" w:hAnsi="Times New Roman" w:cs="Times New Roman"/>
                <w:sz w:val="21"/>
                <w:szCs w:val="21"/>
              </w:rPr>
              <w:t xml:space="preserve">   </w:t>
            </w:r>
            <w:r>
              <w:rPr>
                <w:rFonts w:ascii="Times New Roman" w:hAnsi="Times New Roman" w:eastAsia="仿宋_GB2312" w:cs="Times New Roman"/>
                <w:sz w:val="21"/>
                <w:szCs w:val="21"/>
              </w:rPr>
              <w:t>弹性体</w:t>
            </w:r>
          </w:p>
        </w:tc>
        <w:tc>
          <w:tcPr>
            <w:tcW w:w="6738" w:type="dxa"/>
            <w:noWrap w:val="0"/>
            <w:vAlign w:val="top"/>
          </w:tcPr>
          <w:p>
            <w:pPr>
              <w:pStyle w:val="14"/>
              <w:widowControl w:val="0"/>
              <w:spacing w:line="300" w:lineRule="exact"/>
              <w:rPr>
                <w:rFonts w:ascii="Times New Roman" w:hAnsi="Times New Roman" w:eastAsia="仿宋_GB2312" w:cs="Times New Roman"/>
                <w:sz w:val="21"/>
                <w:szCs w:val="21"/>
              </w:rPr>
            </w:pPr>
            <w:r>
              <w:rPr>
                <w:rFonts w:ascii="Times New Roman" w:hAnsi="Times New Roman" w:eastAsia="仿宋_GB2312" w:cs="Times New Roman"/>
                <w:sz w:val="21"/>
                <w:szCs w:val="21"/>
              </w:rPr>
              <w:t>可在-60～135℃温度范围内使用，硬度范围在25A～65D之间，具有较好的耐候性，优异的抗老化、耐臭氧和耐紫外线性能。单套装置规模达到万吨级/年。</w:t>
            </w:r>
          </w:p>
        </w:tc>
      </w:tr>
    </w:tbl>
    <w:p>
      <w:pPr>
        <w:spacing w:line="580" w:lineRule="exact"/>
        <w:ind w:firstLine="641"/>
        <w:rPr>
          <w:szCs w:val="32"/>
        </w:rPr>
      </w:pPr>
      <w:r>
        <w:rPr>
          <w:kern w:val="0"/>
          <w:szCs w:val="32"/>
          <w:shd w:val="clear" w:color="auto" w:fill="FFFFFF"/>
        </w:rPr>
        <w:t>（3）先进复合材料：</w:t>
      </w:r>
      <w:r>
        <w:rPr>
          <w:szCs w:val="32"/>
        </w:rPr>
        <w:t>重点发展高性能碳纤维、对位芳纶、超高分子量聚乙烯纤维、聚酰亚胺纤维、碳化硅纤维等高性能纤维材料；发展新型溶剂法纤维素纤维、聚乳酸纤维、聚对苯二甲酸丙二醇酯纤维、生物基聚酰胺纤维等生物基化学纤维材料；高端医卫、工业过滤、结构增强、双组份超纤等高端产业用纺织材料；发展高镍三元正极材料、磷酸铁锂正极材料、高性能负极材料、高安全高比能电池等高性能电池等产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812"/>
        <w:gridCol w:w="6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noWrap w:val="0"/>
            <w:vAlign w:val="top"/>
          </w:tcPr>
          <w:p>
            <w:pPr>
              <w:pStyle w:val="14"/>
              <w:widowControl w:val="0"/>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序号</w:t>
            </w:r>
          </w:p>
        </w:tc>
        <w:tc>
          <w:tcPr>
            <w:tcW w:w="1812" w:type="dxa"/>
            <w:noWrap w:val="0"/>
            <w:vAlign w:val="top"/>
          </w:tcPr>
          <w:p>
            <w:pPr>
              <w:pStyle w:val="14"/>
              <w:widowControl w:val="0"/>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产</w:t>
            </w:r>
            <w:r>
              <w:rPr>
                <w:rFonts w:ascii="Times New Roman" w:hAnsi="Times New Roman" w:cs="Times New Roman"/>
                <w:sz w:val="21"/>
                <w:szCs w:val="21"/>
              </w:rPr>
              <w:t xml:space="preserve"> </w:t>
            </w:r>
            <w:r>
              <w:rPr>
                <w:rFonts w:ascii="Times New Roman" w:hAnsi="Times New Roman" w:eastAsia="仿宋_GB2312" w:cs="Times New Roman"/>
                <w:sz w:val="21"/>
                <w:szCs w:val="21"/>
              </w:rPr>
              <w:t>品</w:t>
            </w:r>
          </w:p>
        </w:tc>
        <w:tc>
          <w:tcPr>
            <w:tcW w:w="6738" w:type="dxa"/>
            <w:noWrap w:val="0"/>
            <w:vAlign w:val="top"/>
          </w:tcPr>
          <w:p>
            <w:pPr>
              <w:pStyle w:val="14"/>
              <w:widowControl w:val="0"/>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主</w:t>
            </w:r>
            <w:r>
              <w:rPr>
                <w:rFonts w:ascii="Times New Roman" w:hAnsi="Times New Roman" w:cs="Times New Roman"/>
                <w:sz w:val="21"/>
                <w:szCs w:val="21"/>
              </w:rPr>
              <w:t xml:space="preserve"> </w:t>
            </w:r>
            <w:r>
              <w:rPr>
                <w:rFonts w:ascii="Times New Roman" w:hAnsi="Times New Roman" w:eastAsia="仿宋_GB2312" w:cs="Times New Roman"/>
                <w:sz w:val="21"/>
                <w:szCs w:val="21"/>
              </w:rPr>
              <w:t>要</w:t>
            </w:r>
            <w:r>
              <w:rPr>
                <w:rFonts w:ascii="Times New Roman" w:hAnsi="Times New Roman" w:cs="Times New Roman"/>
                <w:sz w:val="21"/>
                <w:szCs w:val="21"/>
              </w:rPr>
              <w:t xml:space="preserve"> </w:t>
            </w:r>
            <w:r>
              <w:rPr>
                <w:rFonts w:ascii="Times New Roman" w:hAnsi="Times New Roman" w:eastAsia="仿宋_GB2312" w:cs="Times New Roman"/>
                <w:sz w:val="21"/>
                <w:szCs w:val="21"/>
              </w:rPr>
              <w:t>指</w:t>
            </w:r>
            <w:r>
              <w:rPr>
                <w:rFonts w:ascii="Times New Roman" w:hAnsi="Times New Roman" w:cs="Times New Roman"/>
                <w:sz w:val="21"/>
                <w:szCs w:val="21"/>
              </w:rPr>
              <w:t xml:space="preserve"> </w:t>
            </w:r>
            <w:r>
              <w:rPr>
                <w:rFonts w:ascii="Times New Roman" w:hAnsi="Times New Roman" w:eastAsia="仿宋_GB2312" w:cs="Times New Roman"/>
                <w:sz w:val="21"/>
                <w:szCs w:val="21"/>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noWrap w:val="0"/>
            <w:vAlign w:val="center"/>
          </w:tcPr>
          <w:p>
            <w:pPr>
              <w:pStyle w:val="14"/>
              <w:widowControl w:val="0"/>
              <w:spacing w:line="300" w:lineRule="exact"/>
              <w:jc w:val="center"/>
              <w:rPr>
                <w:rFonts w:ascii="Times New Roman" w:hAnsi="Times New Roman" w:eastAsia="仿宋_GB2312" w:cs="Times New Roman"/>
                <w:color w:val="000000"/>
                <w:sz w:val="21"/>
                <w:szCs w:val="21"/>
                <w:shd w:val="clear" w:color="auto" w:fill="FFFFFF"/>
              </w:rPr>
            </w:pPr>
            <w:r>
              <w:rPr>
                <w:rFonts w:ascii="Times New Roman" w:hAnsi="Times New Roman" w:eastAsia="仿宋_GB2312" w:cs="Times New Roman"/>
                <w:color w:val="000000"/>
                <w:sz w:val="21"/>
                <w:szCs w:val="21"/>
                <w:shd w:val="clear" w:color="auto" w:fill="FFFFFF"/>
              </w:rPr>
              <w:t>1</w:t>
            </w:r>
          </w:p>
        </w:tc>
        <w:tc>
          <w:tcPr>
            <w:tcW w:w="1812" w:type="dxa"/>
            <w:noWrap w:val="0"/>
            <w:vAlign w:val="center"/>
          </w:tcPr>
          <w:p>
            <w:pPr>
              <w:pStyle w:val="14"/>
              <w:widowControl w:val="0"/>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对位芳纶</w:t>
            </w:r>
          </w:p>
        </w:tc>
        <w:tc>
          <w:tcPr>
            <w:tcW w:w="6738" w:type="dxa"/>
            <w:noWrap w:val="0"/>
            <w:vAlign w:val="center"/>
          </w:tcPr>
          <w:p>
            <w:pPr>
              <w:pStyle w:val="14"/>
              <w:widowControl w:val="0"/>
              <w:spacing w:line="300" w:lineRule="exact"/>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（1）高模对位芳纶：拉伸模量≥110GPa，强度≥18cN/dtex，线密度3000D和1500D，线密度偏差≤4%，断裂伸长率1.5～3.5%。</w:t>
            </w:r>
          </w:p>
          <w:p>
            <w:pPr>
              <w:pStyle w:val="14"/>
              <w:widowControl w:val="0"/>
              <w:spacing w:line="300" w:lineRule="exact"/>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（2）高强对位芳纶：拉伸强度≥22cN/dtex，断裂伸长率≥3.6%。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noWrap w:val="0"/>
            <w:vAlign w:val="center"/>
          </w:tcPr>
          <w:p>
            <w:pPr>
              <w:pStyle w:val="14"/>
              <w:widowControl w:val="0"/>
              <w:spacing w:line="300" w:lineRule="exact"/>
              <w:jc w:val="center"/>
              <w:rPr>
                <w:rFonts w:ascii="Times New Roman" w:hAnsi="Times New Roman" w:eastAsia="仿宋_GB2312" w:cs="Times New Roman"/>
                <w:color w:val="000000"/>
                <w:sz w:val="21"/>
                <w:szCs w:val="21"/>
                <w:shd w:val="clear" w:color="auto" w:fill="FFFFFF"/>
              </w:rPr>
            </w:pPr>
            <w:r>
              <w:rPr>
                <w:rFonts w:ascii="Times New Roman" w:hAnsi="Times New Roman" w:eastAsia="仿宋_GB2312" w:cs="Times New Roman"/>
                <w:color w:val="000000"/>
                <w:sz w:val="21"/>
                <w:szCs w:val="21"/>
                <w:shd w:val="clear" w:color="auto" w:fill="FFFFFF"/>
              </w:rPr>
              <w:t>2</w:t>
            </w:r>
          </w:p>
        </w:tc>
        <w:tc>
          <w:tcPr>
            <w:tcW w:w="1812" w:type="dxa"/>
            <w:noWrap w:val="0"/>
            <w:vAlign w:val="center"/>
          </w:tcPr>
          <w:p>
            <w:pPr>
              <w:pStyle w:val="14"/>
              <w:widowControl w:val="0"/>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新溶剂法纤维素纤维</w:t>
            </w:r>
          </w:p>
        </w:tc>
        <w:tc>
          <w:tcPr>
            <w:tcW w:w="6738" w:type="dxa"/>
            <w:noWrap w:val="0"/>
            <w:vAlign w:val="center"/>
          </w:tcPr>
          <w:p>
            <w:pPr>
              <w:pStyle w:val="14"/>
              <w:widowControl w:val="0"/>
              <w:spacing w:line="300" w:lineRule="exact"/>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干态断裂强度≥3.6cN/dtex，湿态断裂强度≥3.2cN/dtex。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noWrap w:val="0"/>
            <w:vAlign w:val="center"/>
          </w:tcPr>
          <w:p>
            <w:pPr>
              <w:pStyle w:val="14"/>
              <w:widowControl w:val="0"/>
              <w:spacing w:line="300" w:lineRule="exact"/>
              <w:jc w:val="center"/>
              <w:rPr>
                <w:rFonts w:ascii="Times New Roman" w:hAnsi="Times New Roman" w:eastAsia="仿宋_GB2312" w:cs="Times New Roman"/>
                <w:color w:val="000000"/>
                <w:sz w:val="21"/>
                <w:szCs w:val="21"/>
                <w:shd w:val="clear" w:color="auto" w:fill="FFFFFF"/>
              </w:rPr>
            </w:pPr>
            <w:r>
              <w:rPr>
                <w:rFonts w:ascii="Times New Roman" w:hAnsi="Times New Roman" w:eastAsia="仿宋_GB2312" w:cs="Times New Roman"/>
                <w:color w:val="000000"/>
                <w:sz w:val="21"/>
                <w:szCs w:val="21"/>
                <w:shd w:val="clear" w:color="auto" w:fill="FFFFFF"/>
              </w:rPr>
              <w:t>3</w:t>
            </w:r>
          </w:p>
        </w:tc>
        <w:tc>
          <w:tcPr>
            <w:tcW w:w="1812" w:type="dxa"/>
            <w:noWrap w:val="0"/>
            <w:vAlign w:val="center"/>
          </w:tcPr>
          <w:p>
            <w:pPr>
              <w:pStyle w:val="14"/>
              <w:widowControl w:val="0"/>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锂离子正极材料</w:t>
            </w:r>
          </w:p>
        </w:tc>
        <w:tc>
          <w:tcPr>
            <w:tcW w:w="6738" w:type="dxa"/>
            <w:noWrap w:val="0"/>
            <w:vAlign w:val="center"/>
          </w:tcPr>
          <w:p>
            <w:pPr>
              <w:pStyle w:val="14"/>
              <w:widowControl w:val="0"/>
              <w:spacing w:line="300" w:lineRule="exact"/>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（1）高镍三元正极材料，NCM622：扣式电池0.1C放电比容量≥180mAh/g，全电池1C充放电循环寿命≥2500周。NCM811：扣式电池0.1C放电比容量≥200mAh/g，全电池1C充放电循环寿命≥2000周。NCA：能量密度300～320wh/kg。</w:t>
            </w:r>
          </w:p>
          <w:p>
            <w:pPr>
              <w:pStyle w:val="14"/>
              <w:widowControl w:val="0"/>
              <w:spacing w:line="300" w:lineRule="exact"/>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（2）磷酸铁锂正极材料，能量密度130～140 wh/kg。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noWrap w:val="0"/>
            <w:vAlign w:val="center"/>
          </w:tcPr>
          <w:p>
            <w:pPr>
              <w:pStyle w:val="14"/>
              <w:widowControl w:val="0"/>
              <w:spacing w:line="300" w:lineRule="exact"/>
              <w:jc w:val="center"/>
              <w:rPr>
                <w:rFonts w:ascii="Times New Roman" w:hAnsi="Times New Roman" w:eastAsia="仿宋_GB2312" w:cs="Times New Roman"/>
                <w:color w:val="000000"/>
                <w:sz w:val="21"/>
                <w:szCs w:val="21"/>
                <w:shd w:val="clear" w:color="auto" w:fill="FFFFFF"/>
              </w:rPr>
            </w:pPr>
            <w:r>
              <w:rPr>
                <w:rFonts w:ascii="Times New Roman" w:hAnsi="Times New Roman" w:eastAsia="仿宋_GB2312" w:cs="Times New Roman"/>
                <w:color w:val="000000"/>
                <w:sz w:val="21"/>
                <w:szCs w:val="21"/>
                <w:shd w:val="clear" w:color="auto" w:fill="FFFFFF"/>
              </w:rPr>
              <w:t>4</w:t>
            </w:r>
          </w:p>
        </w:tc>
        <w:tc>
          <w:tcPr>
            <w:tcW w:w="1812" w:type="dxa"/>
            <w:noWrap w:val="0"/>
            <w:vAlign w:val="center"/>
          </w:tcPr>
          <w:p>
            <w:pPr>
              <w:pStyle w:val="14"/>
              <w:widowControl w:val="0"/>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高安全高比能锂离子电池</w:t>
            </w:r>
          </w:p>
        </w:tc>
        <w:tc>
          <w:tcPr>
            <w:tcW w:w="6738" w:type="dxa"/>
            <w:noWrap w:val="0"/>
            <w:vAlign w:val="center"/>
          </w:tcPr>
          <w:p>
            <w:pPr>
              <w:pStyle w:val="14"/>
              <w:widowControl w:val="0"/>
              <w:spacing w:line="300" w:lineRule="exact"/>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电池单体能量密度≥230wh/kg，循环寿命≥1500周。</w:t>
            </w:r>
          </w:p>
        </w:tc>
      </w:tr>
    </w:tbl>
    <w:p>
      <w:pPr>
        <w:pStyle w:val="14"/>
        <w:widowControl w:val="0"/>
        <w:spacing w:line="580" w:lineRule="exact"/>
        <w:ind w:firstLine="640" w:firstLineChars="200"/>
        <w:outlineLvl w:val="2"/>
        <w:rPr>
          <w:rFonts w:hint="eastAsia" w:ascii="Times New Roman" w:hAnsi="Times New Roman" w:eastAsia="楷体" w:cs="Times New Roman"/>
          <w:sz w:val="32"/>
          <w:szCs w:val="32"/>
        </w:rPr>
      </w:pPr>
      <w:bookmarkStart w:id="98" w:name="_Toc32731"/>
      <w:bookmarkStart w:id="99" w:name="_Toc21194"/>
      <w:bookmarkStart w:id="100" w:name="_Toc1477"/>
      <w:bookmarkStart w:id="101" w:name="_Toc10163"/>
      <w:bookmarkStart w:id="102" w:name="_Toc12753"/>
      <w:bookmarkStart w:id="103" w:name="_Toc12361"/>
      <w:bookmarkStart w:id="104" w:name="_Toc9965"/>
      <w:bookmarkStart w:id="105" w:name="_Toc9066"/>
      <w:bookmarkStart w:id="106" w:name="_Toc13414"/>
      <w:bookmarkStart w:id="107" w:name="_Toc27933"/>
      <w:bookmarkStart w:id="108" w:name="_Toc3585"/>
      <w:bookmarkStart w:id="109" w:name="_Toc2944"/>
      <w:bookmarkStart w:id="110" w:name="_Toc31262"/>
      <w:bookmarkStart w:id="111" w:name="_Toc192"/>
      <w:bookmarkStart w:id="112" w:name="_Toc29381"/>
      <w:bookmarkStart w:id="113" w:name="_Toc29617"/>
      <w:bookmarkStart w:id="114" w:name="_Toc7635"/>
      <w:r>
        <w:rPr>
          <w:rFonts w:ascii="Times New Roman" w:hAnsi="Times New Roman" w:eastAsia="楷体" w:cs="Times New Roman"/>
          <w:sz w:val="32"/>
          <w:szCs w:val="32"/>
        </w:rPr>
        <w:t>（二）先进装备制造</w:t>
      </w:r>
      <w:bookmarkEnd w:id="98"/>
      <w:bookmarkEnd w:id="99"/>
      <w:bookmarkEnd w:id="100"/>
      <w:bookmarkEnd w:id="101"/>
      <w:bookmarkEnd w:id="102"/>
      <w:bookmarkEnd w:id="103"/>
      <w:bookmarkEnd w:id="104"/>
      <w:bookmarkEnd w:id="105"/>
      <w:bookmarkEnd w:id="106"/>
      <w:bookmarkStart w:id="115" w:name="_Toc1924"/>
      <w:bookmarkStart w:id="116" w:name="_Toc436126288"/>
    </w:p>
    <w:p>
      <w:pPr>
        <w:pStyle w:val="14"/>
        <w:widowControl w:val="0"/>
        <w:spacing w:line="580" w:lineRule="exact"/>
        <w:ind w:firstLine="642" w:firstLineChars="200"/>
        <w:outlineLvl w:val="2"/>
        <w:rPr>
          <w:rFonts w:ascii="Times New Roman" w:hAnsi="Times New Roman" w:eastAsia="楷体" w:cs="Times New Roman"/>
          <w:sz w:val="32"/>
          <w:szCs w:val="32"/>
        </w:rPr>
      </w:pPr>
      <w:r>
        <w:rPr>
          <w:rFonts w:ascii="Times New Roman" w:hAnsi="Times New Roman" w:eastAsia="仿宋_GB2312" w:cs="Times New Roman"/>
          <w:b/>
          <w:bCs/>
          <w:sz w:val="32"/>
          <w:szCs w:val="32"/>
        </w:rPr>
        <w:t>1.高档数控机床和工业机器人</w:t>
      </w:r>
      <w:bookmarkEnd w:id="115"/>
      <w:bookmarkEnd w:id="116"/>
    </w:p>
    <w:p>
      <w:pPr>
        <w:adjustRightInd w:val="0"/>
        <w:spacing w:line="580" w:lineRule="exact"/>
        <w:ind w:firstLine="640" w:firstLineChars="200"/>
        <w:rPr>
          <w:szCs w:val="32"/>
        </w:rPr>
      </w:pPr>
      <w:bookmarkStart w:id="117" w:name="_Toc12151"/>
      <w:bookmarkStart w:id="118" w:name="_Toc23889"/>
      <w:bookmarkStart w:id="119" w:name="_Toc32016"/>
      <w:bookmarkStart w:id="120" w:name="_Toc8195"/>
      <w:bookmarkStart w:id="121" w:name="_Toc20545"/>
      <w:bookmarkStart w:id="122" w:name="_Toc11286"/>
      <w:bookmarkStart w:id="123" w:name="_Toc6847"/>
      <w:bookmarkStart w:id="124" w:name="_Toc16496"/>
      <w:r>
        <w:rPr>
          <w:szCs w:val="32"/>
        </w:rPr>
        <w:t>（1）高档数控机床</w:t>
      </w:r>
      <w:bookmarkEnd w:id="117"/>
      <w:bookmarkEnd w:id="118"/>
      <w:bookmarkEnd w:id="119"/>
      <w:bookmarkEnd w:id="120"/>
      <w:bookmarkEnd w:id="121"/>
      <w:bookmarkEnd w:id="122"/>
      <w:bookmarkEnd w:id="123"/>
      <w:bookmarkEnd w:id="124"/>
    </w:p>
    <w:p>
      <w:pPr>
        <w:pStyle w:val="20"/>
        <w:spacing w:line="580" w:lineRule="exact"/>
        <w:ind w:firstLine="640" w:firstLineChars="200"/>
        <w:jc w:val="both"/>
        <w:rPr>
          <w:rFonts w:ascii="Times New Roman" w:eastAsia="仿宋_GB2312" w:cs="Times New Roman"/>
          <w:color w:val="auto"/>
          <w:kern w:val="2"/>
          <w:sz w:val="32"/>
          <w:szCs w:val="32"/>
        </w:rPr>
      </w:pPr>
      <w:r>
        <w:rPr>
          <w:rFonts w:ascii="Times New Roman" w:eastAsia="仿宋_GB2312" w:cs="Times New Roman"/>
          <w:color w:val="auto"/>
          <w:kern w:val="2"/>
          <w:sz w:val="32"/>
          <w:szCs w:val="32"/>
        </w:rPr>
        <w:t>针对航空航天、汽车、船舶等重点领域，重点开发</w:t>
      </w:r>
      <w:r>
        <w:rPr>
          <w:rFonts w:ascii="Times New Roman" w:eastAsia="仿宋_GB2312" w:cs="Times New Roman"/>
          <w:sz w:val="32"/>
          <w:szCs w:val="32"/>
        </w:rPr>
        <w:t>高速精密加工中心、</w:t>
      </w:r>
      <w:r>
        <w:rPr>
          <w:rFonts w:ascii="Times New Roman" w:eastAsia="仿宋_GB2312" w:cs="Times New Roman"/>
          <w:color w:val="auto"/>
          <w:kern w:val="2"/>
          <w:sz w:val="32"/>
          <w:szCs w:val="32"/>
        </w:rPr>
        <w:t>五轴联动加工中心、复合加工中心、高速精密数控车床、精密车铣复合中心、高档数控珩磨机、数控压装机、模压淬火机床和3D打印设备等高档数控机床，提高产品精度保持性和可靠性，提升产品智能化水平。</w:t>
      </w:r>
    </w:p>
    <w:p>
      <w:pPr>
        <w:adjustRightInd w:val="0"/>
        <w:spacing w:line="580" w:lineRule="exact"/>
        <w:ind w:firstLine="640" w:firstLineChars="200"/>
        <w:rPr>
          <w:spacing w:val="-6"/>
          <w:szCs w:val="32"/>
        </w:rPr>
      </w:pPr>
      <w:r>
        <w:rPr>
          <w:szCs w:val="32"/>
        </w:rPr>
        <w:t>加</w:t>
      </w:r>
      <w:r>
        <w:rPr>
          <w:spacing w:val="-6"/>
          <w:szCs w:val="32"/>
        </w:rPr>
        <w:t>强机床铸件、排屑过滤器、导轨防护罩、整机防护罩、液压站、夹具、输送料架等零部件区内配套，以及中小零件协作加工。</w:t>
      </w:r>
    </w:p>
    <w:p>
      <w:pPr>
        <w:adjustRightInd w:val="0"/>
        <w:spacing w:line="580" w:lineRule="exact"/>
        <w:ind w:firstLine="640" w:firstLineChars="200"/>
        <w:rPr>
          <w:szCs w:val="32"/>
        </w:rPr>
      </w:pPr>
      <w:bookmarkStart w:id="125" w:name="_Toc29499"/>
      <w:bookmarkStart w:id="126" w:name="_Toc11929"/>
      <w:bookmarkStart w:id="127" w:name="_Toc3032"/>
      <w:bookmarkStart w:id="128" w:name="_Toc29687"/>
      <w:bookmarkStart w:id="129" w:name="_Toc13592"/>
      <w:bookmarkStart w:id="130" w:name="_Toc7650"/>
      <w:bookmarkStart w:id="131" w:name="_Toc17364"/>
      <w:bookmarkStart w:id="132" w:name="_Toc26378"/>
      <w:r>
        <w:rPr>
          <w:szCs w:val="32"/>
        </w:rPr>
        <w:t>（2）工业机器人</w:t>
      </w:r>
      <w:bookmarkEnd w:id="125"/>
      <w:bookmarkEnd w:id="126"/>
      <w:bookmarkEnd w:id="127"/>
      <w:bookmarkEnd w:id="128"/>
      <w:bookmarkEnd w:id="129"/>
      <w:bookmarkEnd w:id="130"/>
      <w:bookmarkEnd w:id="131"/>
      <w:bookmarkEnd w:id="132"/>
    </w:p>
    <w:p>
      <w:pPr>
        <w:adjustRightInd w:val="0"/>
        <w:spacing w:line="580" w:lineRule="exact"/>
        <w:ind w:firstLine="640" w:firstLineChars="200"/>
        <w:rPr>
          <w:szCs w:val="32"/>
        </w:rPr>
      </w:pPr>
      <w:r>
        <w:rPr>
          <w:szCs w:val="32"/>
        </w:rPr>
        <w:t>重点发展桁架机器人、关节机器人、焊接机器人、装配机器人、管件制造机器人。推动整机生产企业实施智能制造，提高产品的可靠性和稳定性。</w:t>
      </w:r>
    </w:p>
    <w:p>
      <w:pPr>
        <w:adjustRightInd w:val="0"/>
        <w:spacing w:line="580" w:lineRule="exact"/>
        <w:ind w:firstLine="640" w:firstLineChars="200"/>
        <w:rPr>
          <w:szCs w:val="32"/>
        </w:rPr>
      </w:pPr>
      <w:r>
        <w:rPr>
          <w:szCs w:val="32"/>
        </w:rPr>
        <w:t>加强工业机器人专用减速器、手臂、关节、手腕、自动化生产</w:t>
      </w:r>
      <w:r>
        <w:rPr>
          <w:spacing w:val="-8"/>
          <w:szCs w:val="32"/>
        </w:rPr>
        <w:t>线用输送料架、上下料机构、自动检测机构等零部件区内配套。研制高精密减速器、高速高性能控制器、高性能伺服电机及驱动器</w:t>
      </w:r>
      <w:r>
        <w:rPr>
          <w:szCs w:val="32"/>
        </w:rPr>
        <w:t>。</w:t>
      </w:r>
    </w:p>
    <w:p>
      <w:pPr>
        <w:adjustRightInd w:val="0"/>
        <w:spacing w:line="580" w:lineRule="exact"/>
        <w:ind w:firstLine="642" w:firstLineChars="200"/>
        <w:outlineLvl w:val="2"/>
        <w:rPr>
          <w:b/>
          <w:bCs/>
          <w:szCs w:val="32"/>
        </w:rPr>
      </w:pPr>
      <w:bookmarkStart w:id="133" w:name="_Toc436126289"/>
      <w:bookmarkStart w:id="134" w:name="_Toc14395"/>
      <w:bookmarkStart w:id="135" w:name="_Toc7974"/>
      <w:bookmarkStart w:id="136" w:name="_Toc12765"/>
      <w:bookmarkStart w:id="137" w:name="_Toc31020"/>
      <w:bookmarkStart w:id="138" w:name="_Toc4439"/>
      <w:bookmarkStart w:id="139" w:name="_Toc30311"/>
      <w:bookmarkStart w:id="140" w:name="_Toc16029"/>
      <w:bookmarkStart w:id="141" w:name="_Toc28292"/>
      <w:bookmarkStart w:id="142" w:name="_Toc9845"/>
      <w:bookmarkStart w:id="143" w:name="_Toc28471"/>
      <w:r>
        <w:rPr>
          <w:b/>
          <w:bCs/>
          <w:szCs w:val="32"/>
        </w:rPr>
        <w:t>2.自动化仪器仪表</w:t>
      </w:r>
      <w:bookmarkEnd w:id="133"/>
      <w:bookmarkEnd w:id="134"/>
      <w:bookmarkEnd w:id="135"/>
      <w:bookmarkEnd w:id="136"/>
      <w:bookmarkEnd w:id="137"/>
      <w:bookmarkEnd w:id="138"/>
      <w:bookmarkEnd w:id="139"/>
      <w:bookmarkEnd w:id="140"/>
      <w:bookmarkEnd w:id="141"/>
      <w:bookmarkEnd w:id="142"/>
      <w:bookmarkEnd w:id="143"/>
    </w:p>
    <w:p>
      <w:pPr>
        <w:tabs>
          <w:tab w:val="left" w:pos="0"/>
        </w:tabs>
        <w:adjustRightInd w:val="0"/>
        <w:snapToGrid w:val="0"/>
        <w:spacing w:line="580" w:lineRule="exact"/>
        <w:ind w:firstLine="640" w:firstLineChars="200"/>
        <w:rPr>
          <w:szCs w:val="32"/>
        </w:rPr>
      </w:pPr>
      <w:r>
        <w:rPr>
          <w:szCs w:val="32"/>
        </w:rPr>
        <w:t>重点发展大型石化控制阀、黑水调节阀、大型火电机组用减温减压控制阀、核2级气动单座式调节阀、煤气化炉用锁渣耐磨球阀、电子式电能表、智能水表、智能燃气表、智能传感器、电动执行机构、气动执行机构，提高产品寿命和控制精度，提升产品智能化水平，推动企业实施智能制造。</w:t>
      </w:r>
    </w:p>
    <w:p>
      <w:pPr>
        <w:tabs>
          <w:tab w:val="left" w:pos="0"/>
        </w:tabs>
        <w:adjustRightInd w:val="0"/>
        <w:snapToGrid w:val="0"/>
        <w:spacing w:line="580" w:lineRule="exact"/>
        <w:ind w:firstLine="640" w:firstLineChars="200"/>
        <w:rPr>
          <w:color w:val="FF0000"/>
          <w:szCs w:val="32"/>
        </w:rPr>
      </w:pPr>
      <w:r>
        <w:rPr>
          <w:szCs w:val="32"/>
        </w:rPr>
        <w:t>加强控制阀阀体、仪表壳体、智能定位器等零部件区内配套。</w:t>
      </w:r>
    </w:p>
    <w:p>
      <w:pPr>
        <w:pStyle w:val="12"/>
        <w:adjustRightInd w:val="0"/>
        <w:spacing w:before="0" w:after="0" w:line="580" w:lineRule="exact"/>
        <w:jc w:val="both"/>
        <w:outlineLvl w:val="2"/>
        <w:rPr>
          <w:rFonts w:ascii="Times New Roman" w:hAnsi="Times New Roman" w:eastAsia="仿宋_GB2312"/>
        </w:rPr>
      </w:pPr>
      <w:bookmarkStart w:id="144" w:name="_Toc436126290"/>
      <w:bookmarkStart w:id="145" w:name="_Toc3226"/>
      <w:bookmarkStart w:id="146" w:name="_Toc3694"/>
      <w:bookmarkStart w:id="147" w:name="_Toc9645"/>
      <w:bookmarkStart w:id="148" w:name="_Toc9226"/>
      <w:bookmarkStart w:id="149" w:name="_Toc15272"/>
      <w:bookmarkStart w:id="150" w:name="_Toc22515"/>
      <w:bookmarkStart w:id="151" w:name="_Toc29275"/>
      <w:bookmarkStart w:id="152" w:name="_Toc12492"/>
      <w:bookmarkStart w:id="153" w:name="_Toc11895"/>
      <w:r>
        <w:rPr>
          <w:rFonts w:ascii="Times New Roman" w:hAnsi="Times New Roman" w:eastAsia="仿宋_GB2312"/>
        </w:rPr>
        <w:t xml:space="preserve">    </w:t>
      </w:r>
      <w:bookmarkStart w:id="154" w:name="_Toc30854"/>
      <w:r>
        <w:rPr>
          <w:rFonts w:ascii="Times New Roman" w:hAnsi="Times New Roman" w:eastAsia="仿宋_GB2312"/>
        </w:rPr>
        <w:t>3.电工电气</w:t>
      </w:r>
      <w:bookmarkEnd w:id="144"/>
      <w:bookmarkEnd w:id="145"/>
      <w:bookmarkEnd w:id="146"/>
      <w:bookmarkEnd w:id="147"/>
      <w:bookmarkEnd w:id="148"/>
      <w:bookmarkEnd w:id="149"/>
      <w:bookmarkEnd w:id="150"/>
      <w:bookmarkEnd w:id="151"/>
      <w:bookmarkEnd w:id="152"/>
      <w:bookmarkEnd w:id="153"/>
      <w:bookmarkEnd w:id="154"/>
    </w:p>
    <w:p>
      <w:pPr>
        <w:tabs>
          <w:tab w:val="left" w:pos="1418"/>
        </w:tabs>
        <w:adjustRightInd w:val="0"/>
        <w:spacing w:line="580" w:lineRule="exact"/>
        <w:ind w:firstLine="640" w:firstLineChars="200"/>
        <w:rPr>
          <w:szCs w:val="32"/>
        </w:rPr>
      </w:pPr>
      <w:r>
        <w:rPr>
          <w:szCs w:val="32"/>
        </w:rPr>
        <w:t>重点发展车载变压器、卷铁芯牵引变压器、节能型牵引变压器、组合式牵引变压器、智能变压器、高原型配网开关设备、高原型高压真空断路器和成套开关设备、大容量配网开关设备、智能高压真空断路器及配网开关设备，提高产品可靠性和智能化水平，推动企业实施智能制造。</w:t>
      </w:r>
    </w:p>
    <w:p>
      <w:pPr>
        <w:tabs>
          <w:tab w:val="left" w:pos="1418"/>
        </w:tabs>
        <w:adjustRightInd w:val="0"/>
        <w:spacing w:line="580" w:lineRule="exact"/>
        <w:ind w:firstLine="640" w:firstLineChars="200"/>
        <w:rPr>
          <w:szCs w:val="32"/>
        </w:rPr>
      </w:pPr>
      <w:r>
        <w:rPr>
          <w:szCs w:val="32"/>
        </w:rPr>
        <w:t>加强母线（铜排）、钣金壳体、绝缘支承件、电抗器、电容器、控制器、保护器、熔断器等零部件区内配套。</w:t>
      </w:r>
    </w:p>
    <w:p>
      <w:pPr>
        <w:pStyle w:val="12"/>
        <w:adjustRightInd w:val="0"/>
        <w:spacing w:before="0" w:after="0" w:line="580" w:lineRule="exact"/>
        <w:jc w:val="both"/>
        <w:outlineLvl w:val="2"/>
        <w:rPr>
          <w:rFonts w:ascii="Times New Roman" w:hAnsi="Times New Roman" w:eastAsia="仿宋_GB2312"/>
        </w:rPr>
      </w:pPr>
      <w:bookmarkStart w:id="155" w:name="_Toc307"/>
      <w:bookmarkStart w:id="156" w:name="_Toc26946"/>
      <w:bookmarkStart w:id="157" w:name="_Toc11283"/>
      <w:bookmarkStart w:id="158" w:name="_Toc11806"/>
      <w:bookmarkStart w:id="159" w:name="_Toc9522"/>
      <w:bookmarkStart w:id="160" w:name="_Toc11617"/>
      <w:bookmarkStart w:id="161" w:name="_Toc6485"/>
      <w:bookmarkStart w:id="162" w:name="_Toc26725"/>
      <w:bookmarkStart w:id="163" w:name="_Toc436126291"/>
      <w:bookmarkStart w:id="164" w:name="_Toc9672"/>
      <w:r>
        <w:rPr>
          <w:rFonts w:ascii="Times New Roman" w:hAnsi="Times New Roman" w:eastAsia="仿宋_GB2312"/>
        </w:rPr>
        <w:t xml:space="preserve">    </w:t>
      </w:r>
      <w:bookmarkStart w:id="165" w:name="_Toc19060"/>
      <w:r>
        <w:rPr>
          <w:rFonts w:ascii="Times New Roman" w:hAnsi="Times New Roman" w:eastAsia="仿宋_GB2312"/>
        </w:rPr>
        <w:t>4.机械基础件</w:t>
      </w:r>
      <w:bookmarkEnd w:id="155"/>
      <w:bookmarkEnd w:id="156"/>
      <w:bookmarkEnd w:id="157"/>
      <w:bookmarkEnd w:id="158"/>
      <w:bookmarkEnd w:id="159"/>
      <w:bookmarkEnd w:id="160"/>
      <w:bookmarkEnd w:id="161"/>
      <w:bookmarkEnd w:id="162"/>
      <w:bookmarkEnd w:id="163"/>
      <w:bookmarkEnd w:id="164"/>
      <w:bookmarkEnd w:id="165"/>
    </w:p>
    <w:p>
      <w:pPr>
        <w:tabs>
          <w:tab w:val="left" w:pos="1134"/>
          <w:tab w:val="left" w:pos="1843"/>
        </w:tabs>
        <w:adjustRightInd w:val="0"/>
        <w:spacing w:line="580" w:lineRule="exact"/>
        <w:ind w:firstLine="640" w:firstLineChars="200"/>
        <w:rPr>
          <w:color w:val="FF0000"/>
          <w:szCs w:val="32"/>
        </w:rPr>
      </w:pPr>
      <w:r>
        <w:rPr>
          <w:szCs w:val="32"/>
        </w:rPr>
        <w:t>重点发展大型石化设备轴承、大型煤化工成套设备轴承、大型煤炭井下综合采掘、提升和洗选设备轴承、大型露天矿设备轴承、轨道交通设备轴承、大型清洁高效发电设备轴承、冶金轧机轴承、工程机械轴承、大型船舶、海洋工程设备轴承、国防军工装备轴承、重载汽车车桥轴承、数控设备大扭矩轴承，以及液压元器件、液压油缸、伺服阀、高强度紧固件，提高产品精度和可靠性。</w:t>
      </w:r>
    </w:p>
    <w:p>
      <w:pPr>
        <w:tabs>
          <w:tab w:val="left" w:pos="1134"/>
          <w:tab w:val="left" w:pos="1843"/>
        </w:tabs>
        <w:adjustRightInd w:val="0"/>
        <w:spacing w:line="580" w:lineRule="exact"/>
        <w:outlineLvl w:val="2"/>
        <w:rPr>
          <w:szCs w:val="32"/>
        </w:rPr>
      </w:pPr>
      <w:r>
        <w:rPr>
          <w:b/>
          <w:szCs w:val="32"/>
        </w:rPr>
        <w:t xml:space="preserve">    </w:t>
      </w:r>
      <w:bookmarkStart w:id="166" w:name="_Toc15846"/>
      <w:r>
        <w:rPr>
          <w:b/>
          <w:szCs w:val="32"/>
        </w:rPr>
        <w:t>5.高端铸件</w:t>
      </w:r>
      <w:bookmarkEnd w:id="166"/>
    </w:p>
    <w:p>
      <w:pPr>
        <w:adjustRightInd w:val="0"/>
        <w:spacing w:line="580" w:lineRule="exact"/>
        <w:ind w:firstLine="640" w:firstLineChars="200"/>
        <w:rPr>
          <w:kern w:val="0"/>
          <w:szCs w:val="32"/>
        </w:rPr>
      </w:pPr>
      <w:r>
        <w:rPr>
          <w:kern w:val="0"/>
          <w:szCs w:val="32"/>
        </w:rPr>
        <w:t>重点研发超临界、超超临界蒸汽轮机高性能铸钢件，特种纯净钢锭铸件，高速、重载机车及清洁能源用内燃机铸件，薄壁高复杂程度的铝镁合金压铸件、超薄壁汽车液力缓速器、铝镁合金等产品，为国内发电设备、汽车、航空等领域进行轻量化配套应用。发挥我区3D打印技术和智能铸造优势，为区内外铸造企业提供智能铸造工厂和3D打印设备的交钥匙工程，推动企业实施智能制造和绿色制造。</w:t>
      </w:r>
    </w:p>
    <w:p>
      <w:pPr>
        <w:pStyle w:val="12"/>
        <w:adjustRightInd w:val="0"/>
        <w:spacing w:before="0" w:after="0" w:line="580" w:lineRule="exact"/>
        <w:jc w:val="both"/>
        <w:outlineLvl w:val="2"/>
        <w:rPr>
          <w:rFonts w:ascii="Times New Roman" w:hAnsi="Times New Roman" w:eastAsia="仿宋_GB2312"/>
        </w:rPr>
      </w:pPr>
      <w:bookmarkStart w:id="167" w:name="_Toc19277"/>
      <w:bookmarkStart w:id="168" w:name="_Toc13614"/>
      <w:bookmarkStart w:id="169" w:name="_Toc24497"/>
      <w:bookmarkStart w:id="170" w:name="_Toc15451"/>
      <w:bookmarkStart w:id="171" w:name="_Toc3748"/>
      <w:bookmarkStart w:id="172" w:name="_Toc24191"/>
      <w:bookmarkStart w:id="173" w:name="_Toc22964"/>
      <w:bookmarkStart w:id="174" w:name="_Toc3344"/>
      <w:bookmarkStart w:id="175" w:name="_Toc1160"/>
      <w:r>
        <w:rPr>
          <w:rFonts w:ascii="Times New Roman" w:hAnsi="Times New Roman" w:eastAsia="仿宋_GB2312"/>
        </w:rPr>
        <w:t xml:space="preserve">     </w:t>
      </w:r>
      <w:bookmarkStart w:id="176" w:name="_Toc26829"/>
      <w:r>
        <w:rPr>
          <w:rFonts w:ascii="Times New Roman" w:hAnsi="Times New Roman" w:eastAsia="仿宋_GB2312"/>
        </w:rPr>
        <w:t>6.煤矿机械</w:t>
      </w:r>
      <w:bookmarkEnd w:id="167"/>
      <w:bookmarkEnd w:id="168"/>
      <w:bookmarkEnd w:id="169"/>
      <w:bookmarkEnd w:id="170"/>
      <w:bookmarkEnd w:id="171"/>
      <w:bookmarkEnd w:id="172"/>
      <w:bookmarkEnd w:id="173"/>
      <w:bookmarkEnd w:id="174"/>
      <w:bookmarkEnd w:id="175"/>
      <w:bookmarkEnd w:id="176"/>
    </w:p>
    <w:p>
      <w:pPr>
        <w:pStyle w:val="21"/>
        <w:widowControl w:val="0"/>
        <w:adjustRightInd w:val="0"/>
        <w:spacing w:line="580" w:lineRule="exact"/>
        <w:ind w:firstLine="640" w:firstLineChars="200"/>
        <w:rPr>
          <w:rFonts w:eastAsia="仿宋_GB2312"/>
          <w:kern w:val="2"/>
          <w:sz w:val="32"/>
          <w:szCs w:val="32"/>
        </w:rPr>
      </w:pPr>
      <w:r>
        <w:rPr>
          <w:rFonts w:eastAsia="仿宋_GB2312"/>
          <w:kern w:val="2"/>
          <w:sz w:val="32"/>
          <w:szCs w:val="32"/>
        </w:rPr>
        <w:t>重点发展煤矿成套输送设备，包括重型或超重型刮板输送机、破碎机、转载机、大运距大倾角大功率皮带输送机以及井下液压支护设备、矿用隔爆变频电机、高压变频电机、高压隔爆永磁同步电机、外转子直驱电机等，提高整机产品可靠性和使用寿命，推动产品向智能化方向发展。加大非煤领域成套输送设备包括管状皮带机、封闭式皮带机、长距离曲线皮带机、移置皮带机和非煤电机等新产品开发。</w:t>
      </w:r>
    </w:p>
    <w:p>
      <w:pPr>
        <w:pStyle w:val="21"/>
        <w:widowControl w:val="0"/>
        <w:adjustRightInd w:val="0"/>
        <w:spacing w:line="580" w:lineRule="exact"/>
        <w:ind w:firstLine="640" w:firstLineChars="200"/>
        <w:rPr>
          <w:rFonts w:eastAsia="仿宋_GB2312"/>
          <w:kern w:val="2"/>
          <w:sz w:val="32"/>
          <w:szCs w:val="32"/>
        </w:rPr>
      </w:pPr>
      <w:r>
        <w:rPr>
          <w:rFonts w:eastAsia="仿宋_GB2312"/>
          <w:kern w:val="2"/>
          <w:sz w:val="32"/>
          <w:szCs w:val="32"/>
        </w:rPr>
        <w:t>加强圆环链、中部槽、托辊、联轴器、矿用减速器、滚筒、胀套等零部件区内配套，以及中小零件协作加工，满足煤矿机械配套需求。</w:t>
      </w:r>
    </w:p>
    <w:p>
      <w:pPr>
        <w:pStyle w:val="12"/>
        <w:adjustRightInd w:val="0"/>
        <w:spacing w:before="0" w:after="0" w:line="580" w:lineRule="exact"/>
        <w:jc w:val="both"/>
        <w:outlineLvl w:val="2"/>
        <w:rPr>
          <w:rFonts w:ascii="Times New Roman" w:hAnsi="Times New Roman" w:eastAsia="仿宋_GB2312"/>
        </w:rPr>
      </w:pPr>
      <w:bookmarkStart w:id="177" w:name="_Toc6530"/>
      <w:bookmarkStart w:id="178" w:name="_Toc22861"/>
      <w:bookmarkStart w:id="179" w:name="_Toc12870"/>
      <w:bookmarkStart w:id="180" w:name="_Toc31305"/>
      <w:bookmarkStart w:id="181" w:name="_Toc3286"/>
      <w:bookmarkStart w:id="182" w:name="_Toc23596"/>
      <w:bookmarkStart w:id="183" w:name="_Toc16891"/>
      <w:bookmarkStart w:id="184" w:name="_Toc436126292"/>
      <w:bookmarkStart w:id="185" w:name="_Toc5920"/>
      <w:bookmarkStart w:id="186" w:name="_Toc28592"/>
      <w:r>
        <w:rPr>
          <w:rFonts w:ascii="Times New Roman" w:hAnsi="Times New Roman" w:eastAsia="仿宋_GB2312"/>
        </w:rPr>
        <w:t xml:space="preserve">    </w:t>
      </w:r>
      <w:bookmarkStart w:id="187" w:name="_Toc21904"/>
      <w:r>
        <w:rPr>
          <w:rFonts w:ascii="Times New Roman" w:hAnsi="Times New Roman" w:eastAsia="仿宋_GB2312"/>
        </w:rPr>
        <w:t>7.新能源装备</w:t>
      </w:r>
      <w:bookmarkEnd w:id="177"/>
      <w:bookmarkEnd w:id="178"/>
      <w:bookmarkEnd w:id="179"/>
      <w:bookmarkEnd w:id="180"/>
      <w:bookmarkEnd w:id="181"/>
      <w:bookmarkEnd w:id="182"/>
      <w:bookmarkEnd w:id="183"/>
      <w:bookmarkEnd w:id="184"/>
      <w:bookmarkEnd w:id="185"/>
      <w:bookmarkEnd w:id="186"/>
      <w:bookmarkEnd w:id="187"/>
    </w:p>
    <w:p>
      <w:pPr>
        <w:pStyle w:val="22"/>
        <w:adjustRightInd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重点发展2.5兆瓦以上级的风力发电机、10兆瓦以上级的太阳能光伏发电装备。</w:t>
      </w:r>
    </w:p>
    <w:p>
      <w:pPr>
        <w:pStyle w:val="22"/>
        <w:adjustRightInd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加强风电超高塔筒、风电增速机、电控系统、液压系统、变桨减速器、偏航减速器、光伏组件、组件适配器、光伏阵列汇流箱、光伏墙、光伏窗、光伏遮阳板、光伏围栏等区内配套。</w:t>
      </w:r>
    </w:p>
    <w:p>
      <w:pPr>
        <w:pStyle w:val="12"/>
        <w:adjustRightInd w:val="0"/>
        <w:spacing w:before="0" w:after="0" w:line="580" w:lineRule="exact"/>
        <w:jc w:val="both"/>
        <w:outlineLvl w:val="2"/>
        <w:rPr>
          <w:rFonts w:ascii="Times New Roman" w:hAnsi="Times New Roman" w:eastAsia="仿宋_GB2312"/>
        </w:rPr>
      </w:pPr>
      <w:bookmarkStart w:id="188" w:name="_Toc28448"/>
      <w:bookmarkStart w:id="189" w:name="_Toc28203"/>
      <w:bookmarkStart w:id="190" w:name="_Toc5418"/>
      <w:bookmarkStart w:id="191" w:name="_Toc31561"/>
      <w:bookmarkStart w:id="192" w:name="_Toc5513"/>
      <w:bookmarkStart w:id="193" w:name="_Toc8642"/>
      <w:bookmarkStart w:id="194" w:name="_Toc11873"/>
      <w:bookmarkStart w:id="195" w:name="_Toc408"/>
      <w:bookmarkStart w:id="196" w:name="_Toc436126293"/>
      <w:bookmarkStart w:id="197" w:name="_Toc30101"/>
      <w:r>
        <w:rPr>
          <w:rFonts w:ascii="Times New Roman" w:hAnsi="Times New Roman" w:eastAsia="仿宋_GB2312"/>
        </w:rPr>
        <w:t xml:space="preserve">    </w:t>
      </w:r>
      <w:bookmarkStart w:id="198" w:name="_Toc3922"/>
      <w:r>
        <w:rPr>
          <w:rFonts w:ascii="Times New Roman" w:hAnsi="Times New Roman" w:eastAsia="仿宋_GB2312"/>
        </w:rPr>
        <w:t>8.农业机械</w:t>
      </w:r>
      <w:bookmarkEnd w:id="188"/>
      <w:bookmarkEnd w:id="189"/>
      <w:bookmarkEnd w:id="190"/>
      <w:bookmarkEnd w:id="191"/>
      <w:bookmarkEnd w:id="192"/>
      <w:bookmarkEnd w:id="193"/>
      <w:bookmarkEnd w:id="194"/>
      <w:bookmarkEnd w:id="195"/>
      <w:bookmarkEnd w:id="196"/>
      <w:bookmarkEnd w:id="197"/>
      <w:bookmarkEnd w:id="198"/>
    </w:p>
    <w:p>
      <w:pPr>
        <w:adjustRightInd w:val="0"/>
        <w:spacing w:line="580" w:lineRule="exact"/>
        <w:ind w:firstLine="640" w:firstLineChars="200"/>
        <w:rPr>
          <w:szCs w:val="32"/>
        </w:rPr>
      </w:pPr>
      <w:r>
        <w:rPr>
          <w:szCs w:val="32"/>
        </w:rPr>
        <w:t>重点发展大型高效联合收割机、复式作业机、枸杞采摘机、枸杞烘干机、压砂地翻砂机等。进一步提升大功率拖拉机、育种、耕作、种植、田间管理、农作物收割、运输、贮存和加工等先进农业机械装备。加快引进国外现代农业机械重大项目，通过消化吸收再创新，研制符合国情、区情的现代农业机械装备，带动产业转型升级发展。</w:t>
      </w:r>
    </w:p>
    <w:p>
      <w:pPr>
        <w:pStyle w:val="12"/>
        <w:adjustRightInd w:val="0"/>
        <w:spacing w:before="0" w:after="0" w:line="580" w:lineRule="exact"/>
        <w:jc w:val="both"/>
        <w:outlineLvl w:val="2"/>
        <w:rPr>
          <w:rFonts w:ascii="Times New Roman" w:hAnsi="Times New Roman" w:eastAsia="仿宋_GB2312"/>
        </w:rPr>
      </w:pPr>
      <w:bookmarkStart w:id="199" w:name="_Toc17709"/>
      <w:bookmarkStart w:id="200" w:name="_Toc5839"/>
      <w:bookmarkStart w:id="201" w:name="_Toc20293"/>
      <w:bookmarkStart w:id="202" w:name="_Toc25147"/>
      <w:bookmarkStart w:id="203" w:name="_Toc1540"/>
      <w:bookmarkStart w:id="204" w:name="_Toc30166"/>
      <w:bookmarkStart w:id="205" w:name="_Toc16430"/>
      <w:bookmarkStart w:id="206" w:name="_Toc22253"/>
      <w:bookmarkStart w:id="207" w:name="_Toc13238"/>
      <w:r>
        <w:rPr>
          <w:rFonts w:ascii="Times New Roman" w:hAnsi="Times New Roman" w:eastAsia="仿宋_GB2312"/>
        </w:rPr>
        <w:t xml:space="preserve">    </w:t>
      </w:r>
      <w:bookmarkStart w:id="208" w:name="_Toc18591"/>
      <w:r>
        <w:rPr>
          <w:rFonts w:ascii="Times New Roman" w:hAnsi="Times New Roman" w:eastAsia="仿宋_GB2312"/>
        </w:rPr>
        <w:t>9.精细化工装备</w:t>
      </w:r>
      <w:bookmarkEnd w:id="199"/>
      <w:bookmarkEnd w:id="200"/>
      <w:bookmarkEnd w:id="201"/>
      <w:bookmarkEnd w:id="202"/>
      <w:bookmarkEnd w:id="203"/>
      <w:bookmarkEnd w:id="204"/>
      <w:bookmarkEnd w:id="205"/>
      <w:bookmarkEnd w:id="206"/>
      <w:bookmarkEnd w:id="207"/>
      <w:bookmarkEnd w:id="208"/>
    </w:p>
    <w:p>
      <w:pPr>
        <w:pStyle w:val="14"/>
        <w:widowControl w:val="0"/>
        <w:spacing w:line="580" w:lineRule="exact"/>
        <w:rPr>
          <w:rFonts w:ascii="Times New Roman" w:hAnsi="Times New Roman" w:eastAsia="仿宋_GB2312" w:cs="Times New Roman"/>
          <w:b/>
          <w:bCs/>
          <w:kern w:val="2"/>
          <w:sz w:val="32"/>
          <w:szCs w:val="32"/>
        </w:rPr>
      </w:pPr>
      <w:r>
        <w:rPr>
          <w:rFonts w:ascii="Times New Roman" w:hAnsi="Times New Roman" w:eastAsia="仿宋_GB2312" w:cs="Times New Roman"/>
          <w:sz w:val="32"/>
          <w:szCs w:val="32"/>
        </w:rPr>
        <w:t xml:space="preserve">    围绕石油化工、煤化工深加工、天然气化工等领域，重点发展塔器、容器、换热器、烷基化反应器、天然气压缩和液化装置。</w:t>
      </w:r>
      <w:r>
        <w:rPr>
          <w:rFonts w:ascii="Times New Roman" w:hAnsi="Times New Roman" w:eastAsia="仿宋_GB2312" w:cs="Times New Roman"/>
          <w:b/>
          <w:bCs/>
          <w:kern w:val="2"/>
          <w:sz w:val="32"/>
          <w:szCs w:val="32"/>
        </w:rPr>
        <w:t xml:space="preserve">     </w:t>
      </w:r>
    </w:p>
    <w:p>
      <w:pPr>
        <w:pStyle w:val="14"/>
        <w:widowControl w:val="0"/>
        <w:spacing w:line="580" w:lineRule="exact"/>
        <w:ind w:firstLine="640" w:firstLineChars="200"/>
        <w:outlineLvl w:val="2"/>
        <w:rPr>
          <w:rFonts w:ascii="Times New Roman" w:hAnsi="Times New Roman" w:eastAsia="楷体" w:cs="Times New Roman"/>
          <w:sz w:val="32"/>
          <w:szCs w:val="32"/>
        </w:rPr>
      </w:pPr>
      <w:bookmarkStart w:id="209" w:name="_Toc29936"/>
      <w:r>
        <w:rPr>
          <w:rFonts w:ascii="Times New Roman" w:hAnsi="Times New Roman" w:eastAsia="楷体" w:cs="Times New Roman"/>
          <w:sz w:val="32"/>
          <w:szCs w:val="32"/>
        </w:rPr>
        <w:t>（三）传统行业提质升级</w:t>
      </w:r>
      <w:bookmarkEnd w:id="209"/>
    </w:p>
    <w:p>
      <w:pPr>
        <w:spacing w:line="580" w:lineRule="exact"/>
        <w:ind w:firstLine="642" w:firstLineChars="200"/>
        <w:outlineLvl w:val="2"/>
        <w:rPr>
          <w:b/>
          <w:bCs/>
          <w:szCs w:val="32"/>
        </w:rPr>
      </w:pPr>
      <w:bookmarkStart w:id="210" w:name="_Toc896"/>
      <w:r>
        <w:rPr>
          <w:b/>
          <w:bCs/>
          <w:szCs w:val="32"/>
        </w:rPr>
        <w:t>1.关键食品药品保障能力提升</w:t>
      </w:r>
      <w:bookmarkEnd w:id="107"/>
      <w:bookmarkEnd w:id="108"/>
      <w:bookmarkEnd w:id="109"/>
      <w:bookmarkEnd w:id="110"/>
      <w:bookmarkEnd w:id="111"/>
      <w:bookmarkEnd w:id="112"/>
      <w:bookmarkEnd w:id="113"/>
      <w:bookmarkEnd w:id="114"/>
      <w:bookmarkEnd w:id="210"/>
    </w:p>
    <w:p>
      <w:pPr>
        <w:spacing w:line="580" w:lineRule="exact"/>
        <w:ind w:firstLine="640"/>
        <w:rPr>
          <w:szCs w:val="32"/>
        </w:rPr>
      </w:pPr>
      <w:r>
        <w:rPr>
          <w:szCs w:val="32"/>
        </w:rPr>
        <w:t>具有自主知识产权的益生菌、直投式发酵剂、酶制剂规模化生产。用于长保质期食品包装的超高阻氧透明膜以及用于冷鲜肉类包装的高阻隔收缩膜品质提升及产业化。多不饱和脂肪酸、结构油脂等婴幼儿配方奶粉关键原辅料的产业化,乳制品骨干企业婴幼儿配方奶粉质量安全追溯体系建设。</w:t>
      </w:r>
    </w:p>
    <w:p>
      <w:pPr>
        <w:spacing w:line="580" w:lineRule="exact"/>
        <w:ind w:firstLine="640"/>
        <w:rPr>
          <w:szCs w:val="32"/>
        </w:rPr>
      </w:pPr>
      <w:r>
        <w:rPr>
          <w:szCs w:val="32"/>
        </w:rPr>
        <w:t>加强市场急需的短缺药、儿童药物、高性能要用辅料包材、疫苗保障能力提升。加快肿瘤、心脑血管、神经系统等重大疾病领域，临床价值高的创新药物开发和产业化，国外专利到期药品化学首仿药和生物类似药的开发及产业化、通过仿制药质量和疗效一致性评价的产品升级。高端药物制剂技术工艺水平提升和产业化。</w:t>
      </w:r>
    </w:p>
    <w:p>
      <w:pPr>
        <w:spacing w:line="580" w:lineRule="exact"/>
        <w:ind w:firstLine="640"/>
        <w:outlineLvl w:val="2"/>
        <w:rPr>
          <w:b/>
          <w:bCs/>
          <w:szCs w:val="32"/>
        </w:rPr>
      </w:pPr>
      <w:bookmarkStart w:id="211" w:name="_Toc2229"/>
      <w:r>
        <w:rPr>
          <w:b/>
          <w:bCs/>
          <w:szCs w:val="32"/>
        </w:rPr>
        <w:t>2.化工企业改造提升</w:t>
      </w:r>
      <w:bookmarkEnd w:id="211"/>
    </w:p>
    <w:p>
      <w:pPr>
        <w:pStyle w:val="2"/>
        <w:widowControl w:val="0"/>
        <w:spacing w:before="0" w:after="0" w:line="580" w:lineRule="exact"/>
        <w:ind w:left="0" w:leftChars="0" w:firstLine="0" w:firstLineChars="0"/>
        <w:jc w:val="both"/>
        <w:rPr>
          <w:rFonts w:ascii="Times New Roman" w:hAnsi="Times New Roman" w:eastAsia="仿宋_GB2312"/>
          <w:sz w:val="32"/>
          <w:szCs w:val="32"/>
          <w:lang w:val="en-US" w:eastAsia="zh-CN"/>
        </w:rPr>
      </w:pPr>
      <w:r>
        <w:rPr>
          <w:rFonts w:ascii="Times New Roman" w:hAnsi="Times New Roman"/>
          <w:sz w:val="32"/>
          <w:szCs w:val="32"/>
          <w:lang w:val="en-US" w:eastAsia="zh-CN"/>
        </w:rPr>
        <w:t xml:space="preserve">    </w:t>
      </w:r>
      <w:r>
        <w:rPr>
          <w:rFonts w:ascii="Times New Roman" w:hAnsi="Times New Roman" w:eastAsia="仿宋_GB2312"/>
          <w:sz w:val="32"/>
          <w:szCs w:val="32"/>
          <w:lang w:val="en-US" w:eastAsia="zh-CN"/>
        </w:rPr>
        <w:t xml:space="preserve"> 符合国家要求的城镇人口密集区危险化学品生产企业搬迁改造，不得借机扩大过剩产能。推动企业采用先进绿色工艺，实施技术改造。</w:t>
      </w:r>
    </w:p>
    <w:p>
      <w:pPr>
        <w:pStyle w:val="2"/>
        <w:widowControl w:val="0"/>
        <w:spacing w:before="0" w:after="0" w:line="580" w:lineRule="exact"/>
        <w:ind w:left="0" w:leftChars="0" w:firstLine="640" w:firstLineChars="0"/>
        <w:outlineLvl w:val="2"/>
        <w:rPr>
          <w:rFonts w:ascii="Times New Roman" w:hAnsi="Times New Roman" w:eastAsia="仿宋_GB2312"/>
          <w:b/>
          <w:bCs/>
          <w:sz w:val="32"/>
          <w:szCs w:val="32"/>
          <w:lang w:val="en-US" w:eastAsia="zh-CN"/>
        </w:rPr>
      </w:pPr>
      <w:bookmarkStart w:id="212" w:name="_Toc25628"/>
      <w:r>
        <w:rPr>
          <w:rFonts w:ascii="Times New Roman" w:hAnsi="Times New Roman" w:eastAsia="仿宋_GB2312"/>
          <w:b/>
          <w:bCs/>
          <w:sz w:val="32"/>
          <w:szCs w:val="32"/>
          <w:lang w:val="en-US" w:eastAsia="zh-CN"/>
        </w:rPr>
        <w:t>3.冶金建材产业先进工艺技术改造</w:t>
      </w:r>
      <w:bookmarkEnd w:id="212"/>
    </w:p>
    <w:p>
      <w:pPr>
        <w:pStyle w:val="2"/>
        <w:widowControl w:val="0"/>
        <w:spacing w:before="0" w:after="0" w:line="580" w:lineRule="exact"/>
        <w:ind w:left="0" w:leftChars="0" w:firstLine="0" w:firstLineChars="0"/>
        <w:jc w:val="both"/>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基于自主品牌装备（系统）的高精度减定径机组等高技术装备在优特钢、棒线材生产领域的应用。在不新增产能的前提下，推动基于高固气比悬浮余热分解、协同处置固体废弃物、精细化能效管控等先进适用技术实施集成改造的高质量高效率干法水泥项目。采用先进技术集成改造的高质量高效率浮法玻璃项目，增加品种提升品质。</w:t>
      </w:r>
    </w:p>
    <w:p>
      <w:pPr>
        <w:spacing w:line="580" w:lineRule="exact"/>
        <w:ind w:firstLine="640"/>
        <w:outlineLvl w:val="2"/>
        <w:rPr>
          <w:b/>
          <w:bCs/>
          <w:szCs w:val="32"/>
        </w:rPr>
      </w:pPr>
      <w:bookmarkStart w:id="213" w:name="_Toc22472"/>
      <w:r>
        <w:rPr>
          <w:b/>
          <w:bCs/>
          <w:szCs w:val="32"/>
        </w:rPr>
        <w:t>4.轻工纺织产品品质提升</w:t>
      </w:r>
      <w:bookmarkEnd w:id="213"/>
    </w:p>
    <w:p>
      <w:pPr>
        <w:pStyle w:val="2"/>
        <w:widowControl w:val="0"/>
        <w:spacing w:before="0" w:after="0" w:line="580" w:lineRule="exact"/>
        <w:ind w:left="0" w:leftChars="0" w:firstLine="0" w:firstLineChars="0"/>
        <w:jc w:val="both"/>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在乳制品加工、发酵、家具、皮革、五金制品、文体用品、盐业等轻工行业，在棉纺、化纤、印染、服装、家纺、产业用纺织品等行业，推动技术装备升级、智能生产、绿色生产、创意设计、公共服务平台建设等，推动产品质量提升和品牌建设，促进行业高质量发展。</w:t>
      </w:r>
    </w:p>
    <w:p>
      <w:pPr>
        <w:spacing w:line="580" w:lineRule="exact"/>
        <w:ind w:firstLine="640"/>
        <w:outlineLvl w:val="2"/>
        <w:rPr>
          <w:b/>
          <w:bCs/>
          <w:szCs w:val="32"/>
        </w:rPr>
      </w:pPr>
      <w:bookmarkStart w:id="214" w:name="_Toc22097"/>
      <w:r>
        <w:rPr>
          <w:b/>
          <w:bCs/>
          <w:szCs w:val="32"/>
        </w:rPr>
        <w:t>5.重点消费品回收能力建设</w:t>
      </w:r>
      <w:bookmarkEnd w:id="214"/>
    </w:p>
    <w:p>
      <w:pPr>
        <w:spacing w:line="580" w:lineRule="exact"/>
        <w:ind w:firstLine="640"/>
        <w:rPr>
          <w:szCs w:val="32"/>
        </w:rPr>
      </w:pPr>
      <w:r>
        <w:rPr>
          <w:szCs w:val="32"/>
        </w:rPr>
        <w:t>家电、汽车回收处理能力建设,回收企业技术升级和设备改造。家电、汽车回收处理平台类企业智能化、信息化能力建设。新能源汽车动力蓄电池规模化回收利用技术工艺水平提升及产业化。</w:t>
      </w:r>
    </w:p>
    <w:p>
      <w:pPr>
        <w:pStyle w:val="14"/>
        <w:widowControl w:val="0"/>
        <w:spacing w:line="580" w:lineRule="exact"/>
        <w:ind w:firstLine="640" w:firstLineChars="200"/>
        <w:outlineLvl w:val="2"/>
        <w:rPr>
          <w:rFonts w:ascii="Times New Roman" w:hAnsi="Times New Roman" w:eastAsia="楷体" w:cs="Times New Roman"/>
          <w:sz w:val="32"/>
          <w:szCs w:val="32"/>
        </w:rPr>
      </w:pPr>
      <w:bookmarkStart w:id="215" w:name="_Toc19583"/>
      <w:r>
        <w:rPr>
          <w:rFonts w:ascii="Times New Roman" w:hAnsi="Times New Roman" w:eastAsia="楷体" w:cs="Times New Roman"/>
          <w:sz w:val="32"/>
          <w:szCs w:val="32"/>
        </w:rPr>
        <w:t>（四）智能化工厂建设</w:t>
      </w:r>
      <w:bookmarkEnd w:id="215"/>
    </w:p>
    <w:p>
      <w:pPr>
        <w:spacing w:line="580" w:lineRule="exact"/>
        <w:ind w:firstLine="640"/>
        <w:rPr>
          <w:szCs w:val="32"/>
        </w:rPr>
      </w:pPr>
      <w:r>
        <w:rPr>
          <w:szCs w:val="32"/>
        </w:rPr>
        <w:t>面向机械、电气、电子设备等离散制造业，利用工业机器人、高档数控机床等数字控制装备和可编程逻辑控制器、工控机等离散控制系统，围绕制造单元、加工中心、生产线和车间进行智能化改造，推动全面感知、设备互联、数据集成、智能管控。推动生产企业实施典型制造领域生产过程智能化改造，鼓励企业采用自主品牌工业机器人进行示范应用生产线建设。</w:t>
      </w:r>
    </w:p>
    <w:p>
      <w:pPr>
        <w:spacing w:line="580" w:lineRule="exact"/>
        <w:ind w:firstLine="640"/>
      </w:pPr>
      <w:r>
        <w:rPr>
          <w:szCs w:val="32"/>
        </w:rPr>
        <w:t>面向冶金、石化、医药等流程控制制造业，利用集散式控制系统、数据采集系统与视频监控系统等流程控制系统，围绕生产全过程的工艺控制、状态监测、故障诊断、质量控制和安全保障的智能化需求，加快装备智能化改造，推动先进过程控制和制造执行系统的全面应用和优化升级。</w:t>
      </w:r>
    </w:p>
    <w:p>
      <w:pPr>
        <w:spacing w:line="580" w:lineRule="exact"/>
        <w:outlineLvl w:val="2"/>
        <w:rPr>
          <w:rFonts w:eastAsia="楷体"/>
          <w:szCs w:val="32"/>
        </w:rPr>
      </w:pPr>
      <w:r>
        <w:rPr>
          <w:rFonts w:eastAsia="楷体"/>
          <w:color w:val="FF0000"/>
          <w:szCs w:val="32"/>
        </w:rPr>
        <w:t xml:space="preserve"> </w:t>
      </w:r>
      <w:r>
        <w:rPr>
          <w:rFonts w:eastAsia="楷体"/>
          <w:b/>
          <w:bCs/>
          <w:color w:val="FF0000"/>
          <w:szCs w:val="32"/>
        </w:rPr>
        <w:t xml:space="preserve">   </w:t>
      </w:r>
      <w:bookmarkStart w:id="216" w:name="_Toc22857"/>
      <w:r>
        <w:rPr>
          <w:rFonts w:eastAsia="楷体"/>
          <w:szCs w:val="32"/>
        </w:rPr>
        <w:t>（五）资源节约循环利用</w:t>
      </w:r>
      <w:bookmarkEnd w:id="216"/>
    </w:p>
    <w:p>
      <w:pPr>
        <w:spacing w:line="580" w:lineRule="exact"/>
        <w:ind w:firstLine="642" w:firstLineChars="200"/>
        <w:outlineLvl w:val="2"/>
        <w:rPr>
          <w:b/>
          <w:bCs/>
          <w:szCs w:val="32"/>
        </w:rPr>
      </w:pPr>
      <w:bookmarkStart w:id="217" w:name="_Toc22239"/>
      <w:r>
        <w:rPr>
          <w:b/>
          <w:bCs/>
          <w:kern w:val="0"/>
          <w:szCs w:val="32"/>
        </w:rPr>
        <w:t>1.重点节能工程</w:t>
      </w:r>
      <w:bookmarkEnd w:id="217"/>
    </w:p>
    <w:p>
      <w:pPr>
        <w:pStyle w:val="14"/>
        <w:widowControl w:val="0"/>
        <w:adjustRightInd w:val="0"/>
        <w:snapToGrid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支持开展重点用能单位能效综合提升工程、电机系统节能改造、锅炉（窑炉）改造、能量系统优化、合同能源管理推进工程、余热暖民工程、道路、隧道照明节能改造绿色照明工程等。</w:t>
      </w:r>
    </w:p>
    <w:p>
      <w:pPr>
        <w:spacing w:line="580" w:lineRule="exact"/>
        <w:outlineLvl w:val="2"/>
        <w:rPr>
          <w:rFonts w:eastAsia="楷体"/>
          <w:kern w:val="0"/>
          <w:szCs w:val="32"/>
        </w:rPr>
      </w:pPr>
      <w:r>
        <w:rPr>
          <w:rFonts w:eastAsia="楷体"/>
          <w:kern w:val="0"/>
          <w:szCs w:val="32"/>
        </w:rPr>
        <w:t xml:space="preserve">   </w:t>
      </w:r>
      <w:r>
        <w:rPr>
          <w:b/>
          <w:bCs/>
          <w:kern w:val="0"/>
          <w:szCs w:val="32"/>
        </w:rPr>
        <w:t xml:space="preserve"> </w:t>
      </w:r>
      <w:bookmarkStart w:id="218" w:name="_Toc23661"/>
      <w:r>
        <w:rPr>
          <w:b/>
          <w:bCs/>
          <w:kern w:val="0"/>
          <w:szCs w:val="32"/>
        </w:rPr>
        <w:t>2.循环经济</w:t>
      </w:r>
      <w:bookmarkEnd w:id="218"/>
    </w:p>
    <w:p>
      <w:pPr>
        <w:pStyle w:val="14"/>
        <w:widowControl w:val="0"/>
        <w:adjustRightInd w:val="0"/>
        <w:snapToGrid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支持开展循环经济示范城市（县）、循环化改造工程、资源循环利用提质工程等。</w:t>
      </w:r>
    </w:p>
    <w:p>
      <w:pPr>
        <w:spacing w:line="580" w:lineRule="exact"/>
        <w:ind w:firstLine="642" w:firstLineChars="200"/>
        <w:outlineLvl w:val="2"/>
        <w:rPr>
          <w:b/>
          <w:bCs/>
          <w:kern w:val="0"/>
          <w:szCs w:val="32"/>
        </w:rPr>
      </w:pPr>
      <w:bookmarkStart w:id="219" w:name="_Toc21056"/>
      <w:r>
        <w:rPr>
          <w:b/>
          <w:bCs/>
          <w:kern w:val="0"/>
          <w:szCs w:val="32"/>
        </w:rPr>
        <w:t>3.资源综合利用</w:t>
      </w:r>
      <w:bookmarkEnd w:id="219"/>
    </w:p>
    <w:p>
      <w:pPr>
        <w:spacing w:line="580" w:lineRule="exact"/>
        <w:rPr>
          <w:szCs w:val="32"/>
        </w:rPr>
      </w:pPr>
      <w:r>
        <w:rPr>
          <w:szCs w:val="32"/>
        </w:rPr>
        <w:t xml:space="preserve">    支持开展粉煤灰、脱硫石膏、化工渣等大宗固体废弃物资源化利用工程，支持大宗固体废弃物综合利用基地项目建设，农业废弃物资源循环利用示范项目、农作物秸秆综合利用项目等。</w:t>
      </w:r>
    </w:p>
    <w:p>
      <w:pPr>
        <w:spacing w:line="580" w:lineRule="exact"/>
        <w:outlineLvl w:val="2"/>
        <w:rPr>
          <w:szCs w:val="32"/>
        </w:rPr>
      </w:pPr>
      <w:r>
        <w:rPr>
          <w:rFonts w:eastAsia="楷体"/>
          <w:kern w:val="0"/>
          <w:szCs w:val="32"/>
        </w:rPr>
        <w:t xml:space="preserve">    </w:t>
      </w:r>
      <w:bookmarkStart w:id="220" w:name="_Toc6404"/>
      <w:r>
        <w:rPr>
          <w:b/>
          <w:bCs/>
          <w:kern w:val="0"/>
          <w:szCs w:val="32"/>
        </w:rPr>
        <w:t>4.重点行业节水改造工程</w:t>
      </w:r>
      <w:bookmarkEnd w:id="220"/>
    </w:p>
    <w:p>
      <w:pPr>
        <w:spacing w:line="580" w:lineRule="exact"/>
        <w:rPr>
          <w:kern w:val="0"/>
          <w:szCs w:val="32"/>
        </w:rPr>
      </w:pPr>
      <w:r>
        <w:rPr>
          <w:kern w:val="0"/>
          <w:szCs w:val="32"/>
        </w:rPr>
        <w:t xml:space="preserve">    支持重点耗水工业企业采用先进节水技术进行节水改造、矿井水综合利用等。</w:t>
      </w:r>
    </w:p>
    <w:p>
      <w:pPr>
        <w:spacing w:line="580" w:lineRule="exact"/>
        <w:ind w:firstLine="640" w:firstLineChars="200"/>
      </w:pPr>
      <w:r>
        <w:rPr>
          <w:szCs w:val="32"/>
        </w:rPr>
        <w:t>以上项目均可申报争取资源节约循环利用中央预算内投资补助支持，投资补助原则上采用切块方式下达，其中中央预算内投资不超过项目总投资的15%，单个项目投资补助金额不超过2000万元。申报要求：项目应通过投资项目在线审批监管平台完成审批、核准或备案程序，取得城乡规划、用地审批（如需办理）、环评、节能审查等支撑性文件，并提供资金申请报告。单个项目总投资应高于1000万元以上，实施年限控制在1-2年为宜，项目实施后达到的标志性目标需量化。（如减少废水排放**万吨等）</w:t>
      </w:r>
    </w:p>
    <w:p>
      <w:pPr>
        <w:pStyle w:val="2"/>
        <w:widowControl w:val="0"/>
        <w:spacing w:before="0" w:after="0" w:line="580" w:lineRule="exact"/>
        <w:ind w:left="0" w:leftChars="0" w:firstLine="0" w:firstLineChars="0"/>
        <w:outlineLvl w:val="1"/>
        <w:rPr>
          <w:rFonts w:ascii="Times New Roman" w:hAnsi="Times New Roman" w:eastAsia="黑体"/>
          <w:sz w:val="32"/>
          <w:szCs w:val="32"/>
          <w:lang w:val="en-US" w:eastAsia="zh-CN"/>
        </w:rPr>
      </w:pPr>
      <w:r>
        <w:rPr>
          <w:rFonts w:ascii="Times New Roman" w:hAnsi="Times New Roman" w:eastAsia="黑体"/>
          <w:sz w:val="32"/>
          <w:szCs w:val="32"/>
          <w:lang w:val="en-US" w:eastAsia="zh-CN"/>
        </w:rPr>
        <w:t xml:space="preserve">    </w:t>
      </w:r>
      <w:bookmarkStart w:id="221" w:name="_Toc22766"/>
      <w:r>
        <w:rPr>
          <w:rFonts w:ascii="Times New Roman" w:hAnsi="Times New Roman" w:eastAsia="黑体"/>
          <w:sz w:val="32"/>
          <w:szCs w:val="32"/>
          <w:lang w:val="en-US" w:eastAsia="zh-CN"/>
        </w:rPr>
        <w:t>三、电力及新能源</w:t>
      </w:r>
      <w:bookmarkEnd w:id="55"/>
      <w:bookmarkEnd w:id="56"/>
      <w:bookmarkEnd w:id="57"/>
      <w:bookmarkEnd w:id="58"/>
      <w:bookmarkEnd w:id="59"/>
      <w:bookmarkEnd w:id="60"/>
      <w:bookmarkEnd w:id="61"/>
      <w:bookmarkEnd w:id="221"/>
    </w:p>
    <w:p>
      <w:pPr>
        <w:pStyle w:val="14"/>
        <w:widowControl w:val="0"/>
        <w:spacing w:line="580" w:lineRule="exact"/>
        <w:ind w:firstLine="640" w:firstLineChars="200"/>
        <w:jc w:val="both"/>
        <w:outlineLvl w:val="2"/>
        <w:rPr>
          <w:rFonts w:ascii="Times New Roman" w:hAnsi="Times New Roman" w:eastAsia="楷体" w:cs="Times New Roman"/>
          <w:kern w:val="2"/>
          <w:sz w:val="32"/>
          <w:szCs w:val="32"/>
        </w:rPr>
      </w:pPr>
      <w:bookmarkStart w:id="222" w:name="_Toc4614"/>
      <w:bookmarkStart w:id="223" w:name="_Toc31172"/>
      <w:bookmarkStart w:id="224" w:name="_Toc189"/>
      <w:bookmarkStart w:id="225" w:name="_Toc12716"/>
      <w:bookmarkStart w:id="226" w:name="_Toc11174"/>
      <w:bookmarkStart w:id="227" w:name="_Toc13964"/>
      <w:bookmarkStart w:id="228" w:name="_Toc29005"/>
      <w:bookmarkStart w:id="229" w:name="_Toc30146"/>
      <w:bookmarkStart w:id="230" w:name="_Toc17487"/>
      <w:r>
        <w:rPr>
          <w:rFonts w:ascii="Times New Roman" w:hAnsi="Times New Roman" w:eastAsia="楷体" w:cs="Times New Roman"/>
          <w:kern w:val="2"/>
          <w:sz w:val="32"/>
          <w:szCs w:val="32"/>
        </w:rPr>
        <w:t>（一）电源项目</w:t>
      </w:r>
      <w:bookmarkEnd w:id="222"/>
      <w:bookmarkEnd w:id="223"/>
      <w:bookmarkEnd w:id="224"/>
      <w:bookmarkEnd w:id="225"/>
      <w:bookmarkEnd w:id="226"/>
      <w:bookmarkEnd w:id="227"/>
      <w:bookmarkEnd w:id="228"/>
      <w:bookmarkEnd w:id="229"/>
      <w:bookmarkEnd w:id="230"/>
    </w:p>
    <w:p>
      <w:pPr>
        <w:pStyle w:val="14"/>
        <w:widowControl w:val="0"/>
        <w:spacing w:line="580" w:lineRule="exact"/>
        <w:ind w:firstLine="642" w:firstLineChars="200"/>
        <w:outlineLvl w:val="2"/>
        <w:rPr>
          <w:rFonts w:ascii="Times New Roman" w:hAnsi="Times New Roman" w:eastAsia="仿宋_GB2312" w:cs="Times New Roman"/>
          <w:b/>
          <w:kern w:val="2"/>
          <w:sz w:val="32"/>
          <w:szCs w:val="32"/>
        </w:rPr>
      </w:pPr>
      <w:bookmarkStart w:id="231" w:name="_Toc32253"/>
      <w:bookmarkStart w:id="232" w:name="_Toc18317"/>
      <w:bookmarkStart w:id="233" w:name="_Toc12998"/>
      <w:bookmarkStart w:id="234" w:name="_Toc1914"/>
      <w:bookmarkStart w:id="235" w:name="_Toc19080"/>
      <w:bookmarkStart w:id="236" w:name="_Toc513"/>
      <w:bookmarkStart w:id="237" w:name="_Toc28521"/>
      <w:bookmarkStart w:id="238" w:name="_Toc13778"/>
      <w:r>
        <w:rPr>
          <w:rFonts w:ascii="Times New Roman" w:hAnsi="Times New Roman" w:eastAsia="仿宋_GB2312" w:cs="Times New Roman"/>
          <w:b/>
          <w:kern w:val="2"/>
          <w:sz w:val="32"/>
          <w:szCs w:val="32"/>
        </w:rPr>
        <w:t>1.新能源</w:t>
      </w:r>
      <w:bookmarkEnd w:id="231"/>
      <w:bookmarkEnd w:id="232"/>
      <w:bookmarkEnd w:id="233"/>
      <w:bookmarkEnd w:id="234"/>
      <w:bookmarkEnd w:id="235"/>
      <w:bookmarkEnd w:id="236"/>
      <w:bookmarkEnd w:id="237"/>
      <w:bookmarkEnd w:id="238"/>
    </w:p>
    <w:p>
      <w:pPr>
        <w:pStyle w:val="14"/>
        <w:widowControl w:val="0"/>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shd w:val="clear" w:color="auto" w:fill="FFFFFF"/>
        </w:rPr>
        <w:t>（1）新能源项目：</w:t>
      </w:r>
      <w:r>
        <w:rPr>
          <w:rFonts w:ascii="Times New Roman" w:hAnsi="Times New Roman" w:eastAsia="仿宋_GB2312" w:cs="Times New Roman"/>
          <w:kern w:val="2"/>
          <w:sz w:val="32"/>
          <w:szCs w:val="32"/>
        </w:rPr>
        <w:t>按照集中式和分布式（分散式）并举的发展思路，在资源、土地、电网接入具备建设条件的地区建设的集中式风电、光伏发电项目；在负荷中心因地制宜建设的分散式风电和分布式光伏项目；结合各地农林生物质及生活垃圾等资源情况，因地制宜建设的农林生物质发电、垃圾焚烧发电项目。</w:t>
      </w:r>
    </w:p>
    <w:p>
      <w:pPr>
        <w:pStyle w:val="14"/>
        <w:widowControl w:val="0"/>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多能互补、融合发展项目：按照“多能互补、协调发展、扩大消纳、提高效益”的发展思路，开展的风电、光伏与储能、氢能等新兴产业的互补融合项目，依托能源互联网等技术开展的风光储互补、源-网-荷-储-售一体化、热电冷多联产、新能源微电网、风电供暖、生物质供暖、太阳能建筑一体化等示范项目。</w:t>
      </w:r>
    </w:p>
    <w:p>
      <w:pPr>
        <w:pStyle w:val="14"/>
        <w:widowControl w:val="0"/>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（3）存量新能源项目改造：通过新技术新装备新模式，推动存量项目提质增效，实施的风光电项目设备升级、新能源+大数据、新能源+储能等改造提升项目。</w:t>
      </w:r>
    </w:p>
    <w:p>
      <w:pPr>
        <w:pStyle w:val="14"/>
        <w:widowControl w:val="0"/>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（4）提升电网消纳能力项目：为提升电网系统调峰能力，建设的抽水蓄能电站、火力发电机组灵活性改造、储能等项目。</w:t>
      </w:r>
    </w:p>
    <w:p>
      <w:pPr>
        <w:pStyle w:val="14"/>
        <w:widowControl w:val="0"/>
        <w:spacing w:line="580" w:lineRule="exact"/>
        <w:ind w:firstLine="642" w:firstLineChars="200"/>
        <w:outlineLvl w:val="2"/>
        <w:rPr>
          <w:rFonts w:ascii="Times New Roman" w:hAnsi="Times New Roman" w:eastAsia="仿宋_GB2312" w:cs="Times New Roman"/>
          <w:b/>
          <w:kern w:val="2"/>
          <w:sz w:val="32"/>
          <w:szCs w:val="32"/>
        </w:rPr>
      </w:pPr>
      <w:bookmarkStart w:id="239" w:name="_Toc11218"/>
      <w:bookmarkStart w:id="240" w:name="_Toc6877"/>
      <w:bookmarkStart w:id="241" w:name="_Toc1778"/>
      <w:bookmarkStart w:id="242" w:name="_Toc28554"/>
      <w:bookmarkStart w:id="243" w:name="_Toc17065"/>
      <w:bookmarkStart w:id="244" w:name="_Toc32108"/>
      <w:bookmarkStart w:id="245" w:name="_Toc21245"/>
      <w:bookmarkStart w:id="246" w:name="_Toc22641"/>
      <w:r>
        <w:rPr>
          <w:rFonts w:ascii="Times New Roman" w:hAnsi="Times New Roman" w:eastAsia="仿宋_GB2312" w:cs="Times New Roman"/>
          <w:b/>
          <w:kern w:val="2"/>
          <w:sz w:val="32"/>
          <w:szCs w:val="32"/>
        </w:rPr>
        <w:t>2.火电</w:t>
      </w:r>
      <w:bookmarkEnd w:id="239"/>
      <w:bookmarkEnd w:id="240"/>
      <w:bookmarkEnd w:id="241"/>
      <w:bookmarkEnd w:id="242"/>
      <w:bookmarkEnd w:id="243"/>
      <w:bookmarkEnd w:id="244"/>
      <w:bookmarkEnd w:id="245"/>
      <w:bookmarkEnd w:id="246"/>
    </w:p>
    <w:p>
      <w:pPr>
        <w:pStyle w:val="14"/>
        <w:widowControl w:val="0"/>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shd w:val="clear" w:color="auto" w:fill="FFFFFF"/>
        </w:rPr>
        <w:t>（1）煤电项目：</w:t>
      </w:r>
      <w:r>
        <w:rPr>
          <w:rFonts w:ascii="Times New Roman" w:hAnsi="Times New Roman" w:eastAsia="仿宋_GB2312" w:cs="Times New Roman"/>
          <w:kern w:val="2"/>
          <w:sz w:val="32"/>
          <w:szCs w:val="32"/>
        </w:rPr>
        <w:t>结合电力市场形势，围绕满足区内用电增长需求，建设的煤电项目。</w:t>
      </w:r>
    </w:p>
    <w:p>
      <w:pPr>
        <w:pStyle w:val="14"/>
        <w:widowControl w:val="0"/>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shd w:val="clear" w:color="auto" w:fill="FFFFFF"/>
        </w:rPr>
        <w:t>（2）热电联产项目：</w:t>
      </w:r>
      <w:r>
        <w:rPr>
          <w:rFonts w:ascii="Times New Roman" w:hAnsi="Times New Roman" w:eastAsia="仿宋_GB2312" w:cs="Times New Roman"/>
          <w:kern w:val="2"/>
          <w:sz w:val="32"/>
          <w:szCs w:val="32"/>
        </w:rPr>
        <w:t>根据城市供暖用热需求，建设的城市热电联产、工业园区集中背压型热电联产、现役燃煤机组供热改造等项目。</w:t>
      </w:r>
    </w:p>
    <w:p>
      <w:pPr>
        <w:pStyle w:val="14"/>
        <w:widowControl w:val="0"/>
        <w:spacing w:line="58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shd w:val="clear" w:color="auto" w:fill="FFFFFF"/>
        </w:rPr>
        <w:t>（3）节能改造及超低排放改造：</w:t>
      </w:r>
      <w:r>
        <w:rPr>
          <w:rFonts w:ascii="Times New Roman" w:hAnsi="Times New Roman" w:eastAsia="仿宋_GB2312" w:cs="Times New Roman"/>
          <w:kern w:val="2"/>
          <w:sz w:val="32"/>
          <w:szCs w:val="32"/>
        </w:rPr>
        <w:t>大力推广成熟先进节能减排技术应用，推进实施的现役煤电（热电联产机组和纯凝机组）机组节能改造、超低排放改造等项目。</w:t>
      </w:r>
    </w:p>
    <w:p>
      <w:pPr>
        <w:pStyle w:val="14"/>
        <w:widowControl w:val="0"/>
        <w:spacing w:line="580" w:lineRule="exact"/>
        <w:ind w:firstLine="640" w:firstLineChars="200"/>
        <w:jc w:val="both"/>
        <w:outlineLvl w:val="2"/>
        <w:rPr>
          <w:rFonts w:ascii="Times New Roman" w:hAnsi="Times New Roman" w:eastAsia="楷体" w:cs="Times New Roman"/>
          <w:kern w:val="2"/>
          <w:sz w:val="32"/>
          <w:szCs w:val="32"/>
        </w:rPr>
      </w:pPr>
      <w:bookmarkStart w:id="247" w:name="_Toc24181"/>
      <w:bookmarkStart w:id="248" w:name="_Toc21569"/>
      <w:bookmarkStart w:id="249" w:name="_Toc12437"/>
      <w:bookmarkStart w:id="250" w:name="_Toc29633"/>
      <w:bookmarkStart w:id="251" w:name="_Toc26293"/>
      <w:bookmarkStart w:id="252" w:name="_Toc6649"/>
      <w:bookmarkStart w:id="253" w:name="_Toc2585"/>
      <w:bookmarkStart w:id="254" w:name="_Toc31202"/>
      <w:bookmarkStart w:id="255" w:name="_Toc4115"/>
      <w:r>
        <w:rPr>
          <w:rFonts w:ascii="Times New Roman" w:hAnsi="Times New Roman" w:eastAsia="楷体" w:cs="Times New Roman"/>
          <w:kern w:val="2"/>
          <w:sz w:val="32"/>
          <w:szCs w:val="32"/>
        </w:rPr>
        <w:t>（二）电网设施建设</w:t>
      </w:r>
      <w:bookmarkEnd w:id="247"/>
      <w:bookmarkEnd w:id="248"/>
      <w:bookmarkEnd w:id="249"/>
      <w:bookmarkEnd w:id="250"/>
      <w:bookmarkEnd w:id="251"/>
      <w:bookmarkEnd w:id="252"/>
      <w:bookmarkEnd w:id="253"/>
      <w:bookmarkEnd w:id="254"/>
      <w:bookmarkEnd w:id="255"/>
    </w:p>
    <w:p>
      <w:pPr>
        <w:pStyle w:val="14"/>
        <w:widowControl w:val="0"/>
        <w:spacing w:line="580" w:lineRule="exact"/>
        <w:ind w:firstLine="642" w:firstLineChars="200"/>
        <w:jc w:val="both"/>
        <w:outlineLvl w:val="2"/>
        <w:rPr>
          <w:rFonts w:ascii="Times New Roman" w:hAnsi="Times New Roman" w:eastAsia="仿宋_GB2312" w:cs="Times New Roman"/>
          <w:b/>
          <w:kern w:val="2"/>
          <w:sz w:val="32"/>
          <w:szCs w:val="32"/>
        </w:rPr>
      </w:pPr>
      <w:bookmarkStart w:id="256" w:name="_Toc27546"/>
      <w:bookmarkStart w:id="257" w:name="_Toc24857"/>
      <w:bookmarkStart w:id="258" w:name="_Toc8024"/>
      <w:bookmarkStart w:id="259" w:name="_Toc16240"/>
      <w:r>
        <w:rPr>
          <w:rFonts w:ascii="Times New Roman" w:hAnsi="Times New Roman" w:eastAsia="仿宋_GB2312" w:cs="Times New Roman"/>
          <w:b/>
          <w:kern w:val="2"/>
          <w:sz w:val="32"/>
          <w:szCs w:val="32"/>
        </w:rPr>
        <w:t>1.主网架建设</w:t>
      </w:r>
      <w:bookmarkEnd w:id="256"/>
      <w:bookmarkEnd w:id="257"/>
      <w:bookmarkEnd w:id="258"/>
      <w:bookmarkEnd w:id="259"/>
    </w:p>
    <w:p>
      <w:pPr>
        <w:pStyle w:val="14"/>
        <w:widowControl w:val="0"/>
        <w:spacing w:line="580" w:lineRule="exact"/>
        <w:ind w:firstLine="640" w:firstLineChars="200"/>
        <w:jc w:val="both"/>
        <w:rPr>
          <w:rFonts w:ascii="Times New Roman" w:hAnsi="Times New Roman" w:eastAsia="仿宋_GB2312" w:cs="Times New Roman"/>
          <w:kern w:val="2"/>
          <w:sz w:val="32"/>
          <w:szCs w:val="32"/>
        </w:rPr>
      </w:pPr>
      <w:bookmarkStart w:id="260" w:name="_Toc9392"/>
      <w:r>
        <w:rPr>
          <w:rFonts w:ascii="Times New Roman" w:hAnsi="Times New Roman" w:eastAsia="仿宋_GB2312" w:cs="Times New Roman"/>
          <w:kern w:val="2"/>
          <w:sz w:val="32"/>
          <w:szCs w:val="32"/>
        </w:rPr>
        <w:t>以进一步强化完善主网架，满足用户供电和新能源接入为目标，推动规划建设的跨省跨区通道、750千伏主网架工程，以及330/220千伏电网工程。</w:t>
      </w:r>
      <w:bookmarkEnd w:id="260"/>
    </w:p>
    <w:p>
      <w:pPr>
        <w:pStyle w:val="14"/>
        <w:widowControl w:val="0"/>
        <w:spacing w:line="580" w:lineRule="exact"/>
        <w:ind w:firstLine="642" w:firstLineChars="200"/>
        <w:jc w:val="both"/>
        <w:outlineLvl w:val="2"/>
        <w:rPr>
          <w:rFonts w:ascii="Times New Roman" w:hAnsi="Times New Roman" w:eastAsia="仿宋_GB2312" w:cs="Times New Roman"/>
          <w:b/>
          <w:kern w:val="2"/>
          <w:sz w:val="32"/>
          <w:szCs w:val="32"/>
        </w:rPr>
      </w:pPr>
      <w:bookmarkStart w:id="261" w:name="_Toc3594"/>
      <w:bookmarkStart w:id="262" w:name="_Toc18481"/>
      <w:bookmarkStart w:id="263" w:name="_Toc28212"/>
      <w:bookmarkStart w:id="264" w:name="_Toc14681"/>
      <w:r>
        <w:rPr>
          <w:rFonts w:ascii="Times New Roman" w:hAnsi="Times New Roman" w:eastAsia="仿宋_GB2312" w:cs="Times New Roman"/>
          <w:b/>
          <w:kern w:val="2"/>
          <w:sz w:val="32"/>
          <w:szCs w:val="32"/>
        </w:rPr>
        <w:t>2.配电网升级改造</w:t>
      </w:r>
      <w:bookmarkEnd w:id="261"/>
      <w:bookmarkEnd w:id="262"/>
      <w:bookmarkEnd w:id="263"/>
      <w:bookmarkEnd w:id="264"/>
    </w:p>
    <w:p>
      <w:pPr>
        <w:pStyle w:val="14"/>
        <w:widowControl w:val="0"/>
        <w:spacing w:line="580" w:lineRule="exact"/>
        <w:ind w:firstLine="640" w:firstLineChars="200"/>
        <w:jc w:val="both"/>
        <w:rPr>
          <w:rFonts w:ascii="Times New Roman" w:hAnsi="Times New Roman" w:eastAsia="仿宋_GB2312" w:cs="Times New Roman"/>
          <w:kern w:val="2"/>
          <w:sz w:val="32"/>
          <w:szCs w:val="32"/>
        </w:rPr>
      </w:pPr>
      <w:bookmarkStart w:id="265" w:name="_Toc22959"/>
      <w:r>
        <w:rPr>
          <w:rFonts w:ascii="Times New Roman" w:hAnsi="Times New Roman" w:eastAsia="仿宋_GB2312" w:cs="Times New Roman"/>
          <w:bCs/>
          <w:kern w:val="2"/>
          <w:sz w:val="32"/>
          <w:szCs w:val="32"/>
        </w:rPr>
        <w:t>围绕</w:t>
      </w:r>
      <w:r>
        <w:rPr>
          <w:rFonts w:ascii="Times New Roman" w:hAnsi="Times New Roman" w:eastAsia="仿宋_GB2312" w:cs="Times New Roman"/>
          <w:kern w:val="2"/>
          <w:sz w:val="32"/>
          <w:szCs w:val="32"/>
        </w:rPr>
        <w:t>全面解决配电网结构、供电能力等方面问题，推动实施的城市配电网建设项目和农村电网改造项目。</w:t>
      </w:r>
      <w:bookmarkEnd w:id="265"/>
    </w:p>
    <w:p>
      <w:pPr>
        <w:pStyle w:val="14"/>
        <w:widowControl w:val="0"/>
        <w:spacing w:line="580" w:lineRule="exact"/>
        <w:ind w:firstLine="642" w:firstLineChars="200"/>
        <w:jc w:val="both"/>
        <w:outlineLvl w:val="2"/>
        <w:rPr>
          <w:rFonts w:ascii="Times New Roman" w:hAnsi="Times New Roman" w:eastAsia="仿宋_GB2312" w:cs="Times New Roman"/>
          <w:b/>
          <w:kern w:val="2"/>
          <w:sz w:val="32"/>
          <w:szCs w:val="32"/>
        </w:rPr>
      </w:pPr>
      <w:bookmarkStart w:id="266" w:name="_Toc281"/>
      <w:bookmarkStart w:id="267" w:name="_Toc18896"/>
      <w:bookmarkStart w:id="268" w:name="_Toc14404"/>
      <w:bookmarkStart w:id="269" w:name="_Toc5179"/>
      <w:r>
        <w:rPr>
          <w:rFonts w:ascii="Times New Roman" w:hAnsi="Times New Roman" w:eastAsia="仿宋_GB2312" w:cs="Times New Roman"/>
          <w:b/>
          <w:kern w:val="2"/>
          <w:sz w:val="32"/>
          <w:szCs w:val="32"/>
        </w:rPr>
        <w:t>3.智能电网</w:t>
      </w:r>
      <w:bookmarkEnd w:id="266"/>
      <w:bookmarkEnd w:id="267"/>
      <w:bookmarkEnd w:id="268"/>
      <w:bookmarkEnd w:id="269"/>
    </w:p>
    <w:p>
      <w:pPr>
        <w:pStyle w:val="14"/>
        <w:widowControl w:val="0"/>
        <w:spacing w:line="580" w:lineRule="exact"/>
        <w:ind w:firstLine="640" w:firstLineChars="200"/>
        <w:jc w:val="both"/>
        <w:rPr>
          <w:rFonts w:ascii="Times New Roman" w:hAnsi="Times New Roman" w:eastAsia="仿宋_GB2312" w:cs="Times New Roman"/>
          <w:kern w:val="2"/>
          <w:sz w:val="32"/>
          <w:szCs w:val="32"/>
        </w:rPr>
      </w:pPr>
      <w:bookmarkStart w:id="270" w:name="_Toc18303"/>
      <w:r>
        <w:rPr>
          <w:rFonts w:ascii="Times New Roman" w:hAnsi="Times New Roman" w:eastAsia="仿宋_GB2312" w:cs="Times New Roman"/>
          <w:kern w:val="2"/>
          <w:sz w:val="32"/>
          <w:szCs w:val="32"/>
        </w:rPr>
        <w:t>充分应用“大云物移智链”现代信息通信技术，在传统电网基础上推进实施的泛在电力物联网等项目。</w:t>
      </w:r>
      <w:bookmarkEnd w:id="270"/>
    </w:p>
    <w:p>
      <w:pPr>
        <w:pStyle w:val="14"/>
        <w:widowControl w:val="0"/>
        <w:numPr>
          <w:ilvl w:val="0"/>
          <w:numId w:val="2"/>
        </w:numPr>
        <w:spacing w:line="580" w:lineRule="exact"/>
        <w:ind w:firstLine="642" w:firstLineChars="200"/>
        <w:jc w:val="both"/>
        <w:outlineLvl w:val="2"/>
        <w:rPr>
          <w:rFonts w:ascii="Times New Roman" w:hAnsi="Times New Roman" w:eastAsia="仿宋_GB2312" w:cs="Times New Roman"/>
          <w:b/>
          <w:kern w:val="2"/>
          <w:sz w:val="32"/>
          <w:szCs w:val="32"/>
        </w:rPr>
      </w:pPr>
      <w:bookmarkStart w:id="271" w:name="_Toc13099"/>
      <w:bookmarkStart w:id="272" w:name="_Toc4043"/>
      <w:bookmarkStart w:id="273" w:name="_Toc1599"/>
      <w:bookmarkStart w:id="274" w:name="_Toc1116"/>
      <w:r>
        <w:rPr>
          <w:rFonts w:ascii="Times New Roman" w:hAnsi="Times New Roman" w:eastAsia="仿宋_GB2312" w:cs="Times New Roman"/>
          <w:b/>
          <w:kern w:val="2"/>
          <w:sz w:val="32"/>
          <w:szCs w:val="32"/>
        </w:rPr>
        <w:t>增量配电网</w:t>
      </w:r>
      <w:bookmarkEnd w:id="271"/>
      <w:bookmarkEnd w:id="272"/>
      <w:bookmarkEnd w:id="273"/>
      <w:bookmarkEnd w:id="274"/>
    </w:p>
    <w:p>
      <w:pPr>
        <w:pStyle w:val="14"/>
        <w:widowControl w:val="0"/>
        <w:spacing w:line="580" w:lineRule="exact"/>
        <w:ind w:firstLine="640" w:firstLineChars="200"/>
        <w:jc w:val="both"/>
        <w:rPr>
          <w:rFonts w:ascii="Times New Roman" w:hAnsi="Times New Roman" w:eastAsia="仿宋_GB2312" w:cs="Times New Roman"/>
          <w:kern w:val="2"/>
          <w:sz w:val="32"/>
          <w:szCs w:val="32"/>
        </w:rPr>
      </w:pPr>
      <w:bookmarkStart w:id="275" w:name="_Toc12315"/>
      <w:r>
        <w:rPr>
          <w:rFonts w:ascii="Times New Roman" w:hAnsi="Times New Roman" w:eastAsia="仿宋_GB2312" w:cs="Times New Roman"/>
          <w:kern w:val="2"/>
          <w:sz w:val="32"/>
          <w:szCs w:val="32"/>
        </w:rPr>
        <w:t>按照电力体制改革要求，在符合条件的工业园区规划建设的增量配电网。</w:t>
      </w:r>
      <w:bookmarkEnd w:id="275"/>
    </w:p>
    <w:p>
      <w:pPr>
        <w:pStyle w:val="14"/>
        <w:widowControl w:val="0"/>
        <w:spacing w:line="580" w:lineRule="exact"/>
        <w:ind w:firstLine="640" w:firstLineChars="200"/>
        <w:jc w:val="both"/>
        <w:outlineLvl w:val="2"/>
        <w:rPr>
          <w:rFonts w:ascii="Times New Roman" w:hAnsi="Times New Roman" w:eastAsia="楷体" w:cs="Times New Roman"/>
          <w:kern w:val="2"/>
          <w:sz w:val="32"/>
          <w:szCs w:val="32"/>
        </w:rPr>
      </w:pPr>
      <w:bookmarkStart w:id="276" w:name="_Toc31897"/>
      <w:bookmarkStart w:id="277" w:name="_Toc10031"/>
      <w:bookmarkStart w:id="278" w:name="_Toc13219"/>
      <w:bookmarkStart w:id="279" w:name="_Toc25035"/>
      <w:bookmarkStart w:id="280" w:name="_Toc30509"/>
      <w:bookmarkStart w:id="281" w:name="_Toc9430"/>
      <w:bookmarkStart w:id="282" w:name="_Toc16514"/>
      <w:bookmarkStart w:id="283" w:name="_Toc451"/>
      <w:bookmarkStart w:id="284" w:name="_Toc29323"/>
      <w:r>
        <w:rPr>
          <w:rFonts w:ascii="Times New Roman" w:hAnsi="Times New Roman" w:eastAsia="楷体" w:cs="Times New Roman"/>
          <w:kern w:val="2"/>
          <w:sz w:val="32"/>
          <w:szCs w:val="32"/>
        </w:rPr>
        <w:t>（三）能源开发利用新模式</w:t>
      </w:r>
      <w:bookmarkEnd w:id="276"/>
      <w:bookmarkEnd w:id="277"/>
      <w:bookmarkEnd w:id="278"/>
      <w:bookmarkEnd w:id="279"/>
      <w:bookmarkEnd w:id="280"/>
      <w:bookmarkEnd w:id="281"/>
      <w:bookmarkEnd w:id="282"/>
      <w:bookmarkEnd w:id="283"/>
      <w:bookmarkEnd w:id="284"/>
    </w:p>
    <w:p>
      <w:pPr>
        <w:pStyle w:val="14"/>
        <w:widowControl w:val="0"/>
        <w:spacing w:line="580" w:lineRule="exact"/>
        <w:ind w:firstLine="642" w:firstLineChars="200"/>
        <w:jc w:val="both"/>
        <w:outlineLvl w:val="2"/>
        <w:rPr>
          <w:rFonts w:ascii="Times New Roman" w:hAnsi="Times New Roman" w:eastAsia="仿宋_GB2312" w:cs="Times New Roman"/>
          <w:b/>
          <w:kern w:val="2"/>
          <w:sz w:val="32"/>
          <w:szCs w:val="32"/>
        </w:rPr>
      </w:pPr>
      <w:bookmarkStart w:id="285" w:name="_Toc18329"/>
      <w:bookmarkStart w:id="286" w:name="_Toc24120"/>
      <w:bookmarkStart w:id="287" w:name="_Toc25716"/>
      <w:bookmarkStart w:id="288" w:name="_Toc10002"/>
      <w:r>
        <w:rPr>
          <w:rFonts w:ascii="Times New Roman" w:hAnsi="Times New Roman" w:eastAsia="仿宋_GB2312" w:cs="Times New Roman"/>
          <w:b/>
          <w:kern w:val="2"/>
          <w:sz w:val="32"/>
          <w:szCs w:val="32"/>
        </w:rPr>
        <w:t>1.氢能产业</w:t>
      </w:r>
      <w:bookmarkEnd w:id="285"/>
      <w:bookmarkEnd w:id="286"/>
      <w:bookmarkEnd w:id="287"/>
      <w:bookmarkEnd w:id="288"/>
    </w:p>
    <w:p>
      <w:pPr>
        <w:pStyle w:val="14"/>
        <w:widowControl w:val="0"/>
        <w:spacing w:line="580" w:lineRule="exact"/>
        <w:ind w:firstLine="640" w:firstLineChars="200"/>
        <w:jc w:val="both"/>
        <w:rPr>
          <w:rFonts w:ascii="Times New Roman" w:hAnsi="Times New Roman" w:eastAsia="仿宋_GB2312" w:cs="Times New Roman"/>
          <w:kern w:val="2"/>
          <w:sz w:val="32"/>
          <w:szCs w:val="32"/>
        </w:rPr>
      </w:pPr>
      <w:bookmarkStart w:id="289" w:name="_Toc15772"/>
      <w:r>
        <w:rPr>
          <w:rFonts w:ascii="Times New Roman" w:hAnsi="Times New Roman" w:eastAsia="仿宋_GB2312" w:cs="Times New Roman"/>
          <w:kern w:val="2"/>
          <w:sz w:val="32"/>
          <w:szCs w:val="32"/>
        </w:rPr>
        <w:t>结合新能源发电技术进步、电网消纳等情况，实施的风电、光伏电力等可再生能源制氢项目、低谷电力制氢，根据氢能汽车运输发展需要布局的加氢基础设施项目，氢能汽车、与煤化工耦合等氢能综合利用项目。</w:t>
      </w:r>
      <w:bookmarkEnd w:id="289"/>
    </w:p>
    <w:p>
      <w:pPr>
        <w:pStyle w:val="14"/>
        <w:widowControl w:val="0"/>
        <w:spacing w:line="580" w:lineRule="exact"/>
        <w:ind w:firstLine="642" w:firstLineChars="200"/>
        <w:jc w:val="both"/>
        <w:outlineLvl w:val="2"/>
        <w:rPr>
          <w:rFonts w:ascii="Times New Roman" w:hAnsi="Times New Roman" w:eastAsia="仿宋_GB2312" w:cs="Times New Roman"/>
          <w:b/>
          <w:kern w:val="2"/>
          <w:sz w:val="32"/>
          <w:szCs w:val="32"/>
        </w:rPr>
      </w:pPr>
      <w:bookmarkStart w:id="290" w:name="_Toc21979"/>
      <w:bookmarkStart w:id="291" w:name="_Toc12013"/>
      <w:bookmarkStart w:id="292" w:name="_Toc4146"/>
      <w:bookmarkStart w:id="293" w:name="_Toc25738"/>
      <w:r>
        <w:rPr>
          <w:rFonts w:ascii="Times New Roman" w:hAnsi="Times New Roman" w:eastAsia="仿宋_GB2312" w:cs="Times New Roman"/>
          <w:b/>
          <w:kern w:val="2"/>
          <w:sz w:val="32"/>
          <w:szCs w:val="32"/>
        </w:rPr>
        <w:t>2.电能替代</w:t>
      </w:r>
      <w:bookmarkEnd w:id="290"/>
      <w:bookmarkEnd w:id="291"/>
      <w:bookmarkEnd w:id="292"/>
      <w:bookmarkEnd w:id="293"/>
    </w:p>
    <w:p>
      <w:pPr>
        <w:pStyle w:val="14"/>
        <w:widowControl w:val="0"/>
        <w:spacing w:line="580" w:lineRule="exact"/>
        <w:ind w:firstLine="640" w:firstLineChars="200"/>
        <w:jc w:val="both"/>
        <w:rPr>
          <w:rFonts w:ascii="Times New Roman" w:hAnsi="Times New Roman" w:eastAsia="仿宋_GB2312" w:cs="Times New Roman"/>
          <w:kern w:val="2"/>
          <w:sz w:val="32"/>
          <w:szCs w:val="32"/>
        </w:rPr>
      </w:pPr>
      <w:bookmarkStart w:id="294" w:name="_Toc2531"/>
      <w:r>
        <w:rPr>
          <w:rFonts w:ascii="Times New Roman" w:hAnsi="Times New Roman" w:eastAsia="仿宋_GB2312" w:cs="Times New Roman"/>
          <w:bCs/>
          <w:kern w:val="2"/>
          <w:sz w:val="32"/>
          <w:szCs w:val="32"/>
        </w:rPr>
        <w:t>结合</w:t>
      </w:r>
      <w:r>
        <w:rPr>
          <w:rFonts w:ascii="Times New Roman" w:hAnsi="Times New Roman" w:eastAsia="仿宋_GB2312" w:cs="Times New Roman"/>
          <w:kern w:val="2"/>
          <w:sz w:val="32"/>
          <w:szCs w:val="32"/>
        </w:rPr>
        <w:t>居民采暖、生产制造、交通运输等领域，实施的电动汽车充电设施、公交环卫机场通勤及旅游定点线路的电动汽车更换、城乡“煤改电”清洁取暖、工业燃煤锅炉替代、空港陆电改造、铁路“以电代油”等项目。</w:t>
      </w:r>
      <w:bookmarkEnd w:id="294"/>
    </w:p>
    <w:p>
      <w:pPr>
        <w:pStyle w:val="14"/>
        <w:widowControl w:val="0"/>
        <w:spacing w:line="600" w:lineRule="exact"/>
        <w:ind w:firstLine="640" w:firstLineChars="200"/>
        <w:jc w:val="both"/>
        <w:rPr>
          <w:rFonts w:ascii="Times New Roman" w:hAnsi="Times New Roman" w:eastAsia="仿宋_GB2312" w:cs="Times New Roman"/>
          <w:kern w:val="2"/>
          <w:sz w:val="32"/>
          <w:szCs w:val="32"/>
        </w:rPr>
      </w:pPr>
    </w:p>
    <w:p>
      <w:pPr>
        <w:pStyle w:val="14"/>
        <w:widowControl w:val="0"/>
        <w:spacing w:line="600" w:lineRule="exact"/>
        <w:ind w:firstLine="640" w:firstLineChars="200"/>
        <w:jc w:val="both"/>
        <w:rPr>
          <w:rFonts w:ascii="Times New Roman" w:hAnsi="Times New Roman" w:eastAsia="仿宋_GB2312" w:cs="Times New Roman"/>
          <w:kern w:val="2"/>
          <w:sz w:val="32"/>
          <w:szCs w:val="32"/>
        </w:rPr>
      </w:pPr>
    </w:p>
    <w:p>
      <w:pPr>
        <w:pStyle w:val="14"/>
        <w:widowControl w:val="0"/>
        <w:spacing w:line="600" w:lineRule="exact"/>
        <w:ind w:firstLine="640" w:firstLineChars="200"/>
        <w:jc w:val="both"/>
        <w:rPr>
          <w:rFonts w:ascii="Times New Roman" w:hAnsi="Times New Roman" w:eastAsia="仿宋_GB2312" w:cs="Times New Roman"/>
          <w:kern w:val="2"/>
          <w:sz w:val="32"/>
          <w:szCs w:val="32"/>
        </w:rPr>
      </w:pPr>
    </w:p>
    <w:p>
      <w:pPr>
        <w:pStyle w:val="14"/>
        <w:widowControl w:val="0"/>
        <w:spacing w:line="600" w:lineRule="exact"/>
        <w:jc w:val="both"/>
        <w:rPr>
          <w:rFonts w:ascii="Times New Roman" w:hAnsi="Times New Roman" w:eastAsia="仿宋_GB2312" w:cs="Times New Roman"/>
          <w:kern w:val="2"/>
          <w:sz w:val="32"/>
          <w:szCs w:val="32"/>
        </w:rPr>
      </w:pPr>
    </w:p>
    <w:p>
      <w:pPr>
        <w:pStyle w:val="14"/>
        <w:widowControl w:val="0"/>
        <w:spacing w:line="600" w:lineRule="exact"/>
        <w:jc w:val="both"/>
        <w:rPr>
          <w:rFonts w:ascii="Times New Roman" w:hAnsi="Times New Roman" w:eastAsia="仿宋_GB2312" w:cs="Times New Roman"/>
          <w:kern w:val="2"/>
          <w:sz w:val="32"/>
          <w:szCs w:val="32"/>
        </w:rPr>
      </w:pPr>
    </w:p>
    <w:p>
      <w:pPr>
        <w:pStyle w:val="14"/>
        <w:widowControl w:val="0"/>
        <w:spacing w:line="600" w:lineRule="exact"/>
        <w:jc w:val="both"/>
        <w:rPr>
          <w:rFonts w:ascii="Times New Roman" w:hAnsi="Times New Roman" w:eastAsia="仿宋_GB2312" w:cs="Times New Roman"/>
          <w:kern w:val="2"/>
          <w:sz w:val="32"/>
          <w:szCs w:val="32"/>
        </w:rPr>
      </w:pPr>
    </w:p>
    <w:p>
      <w:pPr>
        <w:pStyle w:val="14"/>
        <w:widowControl w:val="0"/>
        <w:spacing w:line="600" w:lineRule="exact"/>
        <w:jc w:val="both"/>
        <w:rPr>
          <w:rFonts w:ascii="Times New Roman" w:hAnsi="Times New Roman" w:eastAsia="仿宋_GB2312" w:cs="Times New Roman"/>
          <w:kern w:val="2"/>
          <w:sz w:val="32"/>
          <w:szCs w:val="32"/>
        </w:rPr>
      </w:pPr>
    </w:p>
    <w:p>
      <w:pPr>
        <w:pStyle w:val="14"/>
        <w:widowControl w:val="0"/>
        <w:spacing w:line="600" w:lineRule="exact"/>
        <w:jc w:val="both"/>
        <w:rPr>
          <w:rFonts w:ascii="Times New Roman" w:hAnsi="Times New Roman" w:eastAsia="仿宋_GB2312" w:cs="Times New Roman"/>
          <w:kern w:val="2"/>
          <w:sz w:val="32"/>
          <w:szCs w:val="32"/>
        </w:rPr>
      </w:pPr>
    </w:p>
    <w:p>
      <w:pPr>
        <w:pStyle w:val="14"/>
        <w:widowControl w:val="0"/>
        <w:spacing w:line="600" w:lineRule="exact"/>
        <w:jc w:val="both"/>
        <w:rPr>
          <w:rFonts w:ascii="Times New Roman" w:hAnsi="Times New Roman" w:eastAsia="仿宋_GB2312" w:cs="Times New Roman"/>
          <w:kern w:val="2"/>
          <w:sz w:val="32"/>
          <w:szCs w:val="32"/>
        </w:rPr>
      </w:pPr>
    </w:p>
    <w:p>
      <w:pPr>
        <w:pStyle w:val="14"/>
        <w:widowControl w:val="0"/>
        <w:spacing w:line="600" w:lineRule="exact"/>
        <w:jc w:val="both"/>
        <w:rPr>
          <w:rFonts w:ascii="Times New Roman" w:hAnsi="Times New Roman" w:eastAsia="仿宋_GB2312" w:cs="Times New Roman"/>
          <w:kern w:val="2"/>
          <w:sz w:val="32"/>
          <w:szCs w:val="32"/>
        </w:rPr>
      </w:pPr>
    </w:p>
    <w:p>
      <w:pPr>
        <w:pStyle w:val="14"/>
        <w:widowControl w:val="0"/>
        <w:spacing w:line="600" w:lineRule="exact"/>
        <w:jc w:val="both"/>
        <w:rPr>
          <w:rFonts w:ascii="Times New Roman" w:hAnsi="Times New Roman" w:eastAsia="仿宋_GB2312" w:cs="Times New Roman"/>
          <w:kern w:val="2"/>
          <w:sz w:val="32"/>
          <w:szCs w:val="32"/>
        </w:rPr>
      </w:pPr>
    </w:p>
    <w:p>
      <w:pPr>
        <w:pStyle w:val="14"/>
        <w:widowControl w:val="0"/>
        <w:spacing w:line="600" w:lineRule="exact"/>
        <w:jc w:val="both"/>
        <w:rPr>
          <w:rFonts w:ascii="Times New Roman" w:hAnsi="Times New Roman" w:eastAsia="仿宋_GB2312" w:cs="Times New Roman"/>
          <w:kern w:val="2"/>
          <w:sz w:val="32"/>
          <w:szCs w:val="32"/>
        </w:rPr>
      </w:pPr>
    </w:p>
    <w:p>
      <w:pPr>
        <w:pStyle w:val="14"/>
        <w:widowControl w:val="0"/>
        <w:spacing w:line="600" w:lineRule="exact"/>
        <w:jc w:val="both"/>
        <w:rPr>
          <w:rFonts w:ascii="Times New Roman" w:hAnsi="Times New Roman" w:eastAsia="仿宋_GB2312" w:cs="Times New Roman"/>
          <w:kern w:val="2"/>
          <w:sz w:val="32"/>
          <w:szCs w:val="32"/>
        </w:rPr>
      </w:pPr>
    </w:p>
    <w:p>
      <w:pPr>
        <w:pStyle w:val="14"/>
        <w:widowControl w:val="0"/>
        <w:spacing w:line="600" w:lineRule="exact"/>
        <w:jc w:val="both"/>
        <w:rPr>
          <w:rFonts w:hint="eastAsia" w:ascii="Times New Roman" w:hAnsi="Times New Roman" w:eastAsia="仿宋_GB2312" w:cs="Times New Roman"/>
          <w:kern w:val="2"/>
          <w:sz w:val="32"/>
          <w:szCs w:val="32"/>
        </w:rPr>
      </w:pPr>
    </w:p>
    <w:p>
      <w:pPr>
        <w:pStyle w:val="14"/>
        <w:widowControl w:val="0"/>
        <w:spacing w:line="600" w:lineRule="exact"/>
        <w:jc w:val="both"/>
        <w:rPr>
          <w:rFonts w:hint="eastAsia" w:ascii="Times New Roman" w:hAnsi="Times New Roman" w:eastAsia="仿宋_GB2312" w:cs="Times New Roman"/>
          <w:kern w:val="2"/>
          <w:sz w:val="32"/>
          <w:szCs w:val="32"/>
        </w:rPr>
      </w:pPr>
    </w:p>
    <w:p>
      <w:pPr>
        <w:pStyle w:val="2"/>
        <w:widowControl w:val="0"/>
        <w:spacing w:before="0" w:after="0" w:line="600" w:lineRule="exact"/>
        <w:ind w:left="0" w:leftChars="0" w:firstLine="0" w:firstLineChars="0"/>
        <w:jc w:val="center"/>
        <w:outlineLvl w:val="0"/>
        <w:rPr>
          <w:rFonts w:ascii="Times New Roman" w:hAnsi="Times New Roman" w:eastAsia="方正小标宋_GBK"/>
          <w:sz w:val="44"/>
          <w:szCs w:val="44"/>
          <w:lang w:val="en-US" w:eastAsia="zh-CN"/>
        </w:rPr>
      </w:pPr>
      <w:bookmarkStart w:id="295" w:name="_Toc28375"/>
    </w:p>
    <w:p>
      <w:pPr>
        <w:pStyle w:val="2"/>
        <w:widowControl w:val="0"/>
        <w:spacing w:before="0" w:after="0" w:line="600" w:lineRule="exact"/>
        <w:ind w:left="0" w:leftChars="0" w:firstLine="0" w:firstLineChars="0"/>
        <w:jc w:val="center"/>
        <w:outlineLvl w:val="0"/>
        <w:rPr>
          <w:rFonts w:hint="eastAsia" w:ascii="Times New Roman" w:hAnsi="Times New Roman" w:eastAsia="方正小标宋_GBK"/>
          <w:sz w:val="44"/>
          <w:szCs w:val="44"/>
          <w:lang w:val="en-US" w:eastAsia="zh-CN"/>
        </w:rPr>
      </w:pPr>
    </w:p>
    <w:p>
      <w:pPr>
        <w:pStyle w:val="2"/>
        <w:widowControl w:val="0"/>
        <w:spacing w:before="0" w:after="0" w:line="600" w:lineRule="exact"/>
        <w:ind w:left="0" w:leftChars="0" w:firstLine="0" w:firstLineChars="0"/>
        <w:jc w:val="center"/>
        <w:outlineLvl w:val="0"/>
        <w:rPr>
          <w:rFonts w:ascii="Times New Roman" w:hAnsi="Times New Roman" w:eastAsia="方正小标宋_GBK"/>
          <w:sz w:val="44"/>
          <w:szCs w:val="44"/>
          <w:lang w:val="en-US" w:eastAsia="zh-CN"/>
        </w:rPr>
      </w:pPr>
      <w:r>
        <w:rPr>
          <w:rFonts w:ascii="Times New Roman" w:hAnsi="Times New Roman" w:eastAsia="方正小标宋_GBK"/>
          <w:sz w:val="44"/>
          <w:szCs w:val="44"/>
          <w:lang w:val="en-US" w:eastAsia="zh-CN"/>
        </w:rPr>
        <w:t>第三部分  服务业提档升级</w:t>
      </w:r>
      <w:bookmarkEnd w:id="295"/>
    </w:p>
    <w:p>
      <w:pPr>
        <w:spacing w:line="600" w:lineRule="exact"/>
        <w:ind w:firstLine="642" w:firstLineChars="200"/>
        <w:outlineLvl w:val="1"/>
        <w:rPr>
          <w:rStyle w:val="17"/>
          <w:rFonts w:eastAsia="仿宋_GB2312"/>
          <w:color w:val="333333"/>
          <w:kern w:val="0"/>
          <w:szCs w:val="32"/>
          <w:shd w:val="clear" w:color="auto" w:fill="FFFFFF"/>
          <w:lang w:bidi="ar"/>
        </w:rPr>
      </w:pPr>
      <w:bookmarkStart w:id="296" w:name="_Toc29467"/>
    </w:p>
    <w:bookmarkEnd w:id="296"/>
    <w:p>
      <w:pPr>
        <w:spacing w:line="580" w:lineRule="exact"/>
        <w:ind w:firstLine="640"/>
        <w:outlineLvl w:val="1"/>
        <w:rPr>
          <w:b/>
          <w:bCs/>
          <w:color w:val="000000"/>
          <w:kern w:val="0"/>
          <w:szCs w:val="32"/>
        </w:rPr>
      </w:pPr>
      <w:bookmarkStart w:id="297" w:name="_Toc28373"/>
      <w:r>
        <w:rPr>
          <w:rStyle w:val="17"/>
          <w:rFonts w:eastAsia="黑体"/>
          <w:b w:val="0"/>
          <w:bCs/>
          <w:color w:val="000000"/>
          <w:kern w:val="0"/>
          <w:szCs w:val="32"/>
          <w:shd w:val="clear" w:color="auto" w:fill="FFFFFF"/>
          <w:lang w:bidi="ar"/>
        </w:rPr>
        <w:t>一、现代服务业集聚区建设</w:t>
      </w:r>
      <w:bookmarkEnd w:id="297"/>
    </w:p>
    <w:p>
      <w:pPr>
        <w:spacing w:line="580" w:lineRule="exact"/>
        <w:ind w:firstLine="640" w:firstLineChars="200"/>
        <w:outlineLvl w:val="2"/>
        <w:rPr>
          <w:rFonts w:eastAsia="楷体"/>
          <w:color w:val="000000"/>
          <w:kern w:val="0"/>
          <w:szCs w:val="32"/>
        </w:rPr>
      </w:pPr>
      <w:bookmarkStart w:id="298" w:name="_Toc7445"/>
      <w:r>
        <w:rPr>
          <w:rFonts w:eastAsia="楷体"/>
          <w:color w:val="000000"/>
          <w:kern w:val="0"/>
          <w:szCs w:val="32"/>
        </w:rPr>
        <w:t>（一）现代服务业集聚区建设工程</w:t>
      </w:r>
      <w:bookmarkEnd w:id="298"/>
    </w:p>
    <w:p>
      <w:pPr>
        <w:spacing w:line="580" w:lineRule="exact"/>
        <w:ind w:firstLine="640" w:firstLineChars="200"/>
        <w:rPr>
          <w:color w:val="000000"/>
          <w:szCs w:val="32"/>
        </w:rPr>
      </w:pPr>
      <w:r>
        <w:rPr>
          <w:color w:val="000000"/>
          <w:kern w:val="0"/>
          <w:szCs w:val="32"/>
        </w:rPr>
        <w:t>继续深入推进石嘴山陆港现代物流、大武口生态工业旅游休闲、银川中关村双创园科技服务、阅海湾中央商务区现代金融、吴忠牛家坊民俗文化村、青铜峡黄河金岸旅游休闲、中卫沙坡头水镇特色商贸、西部云基地信息服务、固原西南新区特色商贸、泾河源旅游休闲等11个已经认定的现代服务业集聚区建设，按照集聚区建设实施方案，加快</w:t>
      </w:r>
      <w:r>
        <w:rPr>
          <w:color w:val="000000"/>
          <w:szCs w:val="32"/>
        </w:rPr>
        <w:t>推动建设，逐步形成现代服务业发展的重要载体和产业竞争高地，增强自治区服务业综合竞争力。</w:t>
      </w:r>
    </w:p>
    <w:p>
      <w:pPr>
        <w:spacing w:line="580" w:lineRule="exact"/>
        <w:ind w:firstLine="640" w:firstLineChars="200"/>
        <w:outlineLvl w:val="2"/>
        <w:rPr>
          <w:rFonts w:eastAsia="楷体"/>
          <w:color w:val="000000"/>
          <w:kern w:val="0"/>
          <w:szCs w:val="32"/>
        </w:rPr>
      </w:pPr>
      <w:bookmarkStart w:id="299" w:name="_Toc15132"/>
      <w:bookmarkStart w:id="300" w:name="_Toc32599"/>
      <w:r>
        <w:rPr>
          <w:rFonts w:eastAsia="楷体"/>
          <w:color w:val="000000"/>
          <w:kern w:val="0"/>
          <w:szCs w:val="32"/>
        </w:rPr>
        <w:t>（二）现代服务业集聚区培育工程</w:t>
      </w:r>
      <w:bookmarkEnd w:id="299"/>
      <w:bookmarkEnd w:id="300"/>
    </w:p>
    <w:p>
      <w:pPr>
        <w:spacing w:line="580" w:lineRule="exact"/>
        <w:ind w:firstLine="640" w:firstLineChars="200"/>
        <w:rPr>
          <w:color w:val="000000"/>
          <w:szCs w:val="32"/>
        </w:rPr>
      </w:pPr>
      <w:r>
        <w:rPr>
          <w:color w:val="000000"/>
          <w:szCs w:val="32"/>
        </w:rPr>
        <w:t>围绕提升制度创新能力、核心产业竞争力和市场主体集聚能力，重点在信息服务、科技服务、现代物流、文化旅游、健康产业等领域，依托各地区各行业现有的园区、基地和枢纽等，“十四五”期间，再着力培育建设吴忠利通区东部健康产业、石嘴山黄渠桥特色商贸等10-15个左右产业集聚程度高、辐射带动作用大、示范复制能力强的现代服务业功能区和集聚区，重点培育知识密集型高端生产性服务业，着力建设特色鲜明的高端生活性服务示范功能区，继续加大重点产业集聚建设，做优重点产业，做强优势产业，补齐薄弱产业，提升集聚区的服务支撑能力。</w:t>
      </w:r>
    </w:p>
    <w:p>
      <w:pPr>
        <w:pStyle w:val="2"/>
        <w:widowControl w:val="0"/>
        <w:spacing w:before="0" w:after="0" w:line="580" w:lineRule="exact"/>
        <w:ind w:left="0" w:leftChars="0" w:firstLine="640"/>
        <w:jc w:val="both"/>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以上项目如符合当年度自治区服务业发展引导资金中对现代服务业集聚区项目征集通知相关要求，可申报自治区服务业引导资金现代服务业集聚区专项资金支持。支持方式为直接补助。</w:t>
      </w:r>
    </w:p>
    <w:p>
      <w:pPr>
        <w:spacing w:line="580" w:lineRule="exact"/>
        <w:outlineLvl w:val="1"/>
        <w:rPr>
          <w:rStyle w:val="17"/>
          <w:rFonts w:eastAsia="黑体"/>
          <w:b w:val="0"/>
          <w:bCs/>
          <w:color w:val="000000"/>
          <w:kern w:val="0"/>
          <w:szCs w:val="32"/>
          <w:shd w:val="clear" w:color="auto" w:fill="FFFFFF"/>
          <w:lang w:bidi="ar"/>
        </w:rPr>
      </w:pPr>
      <w:bookmarkStart w:id="301" w:name="_Toc3198"/>
      <w:r>
        <w:rPr>
          <w:rStyle w:val="17"/>
          <w:rFonts w:eastAsia="黑体"/>
          <w:b w:val="0"/>
          <w:bCs/>
          <w:color w:val="000000"/>
          <w:kern w:val="0"/>
          <w:szCs w:val="32"/>
          <w:shd w:val="clear" w:color="auto" w:fill="FFFFFF"/>
          <w:lang w:bidi="ar"/>
        </w:rPr>
        <w:t xml:space="preserve">    </w:t>
      </w:r>
      <w:bookmarkStart w:id="302" w:name="_Toc27262"/>
      <w:r>
        <w:rPr>
          <w:rStyle w:val="17"/>
          <w:rFonts w:eastAsia="黑体"/>
          <w:b w:val="0"/>
          <w:bCs/>
          <w:color w:val="000000"/>
          <w:kern w:val="0"/>
          <w:szCs w:val="32"/>
          <w:shd w:val="clear" w:color="auto" w:fill="FFFFFF"/>
          <w:lang w:bidi="ar"/>
        </w:rPr>
        <w:t>二、健康养老产业</w:t>
      </w:r>
      <w:bookmarkEnd w:id="302"/>
    </w:p>
    <w:p>
      <w:pPr>
        <w:spacing w:line="580" w:lineRule="exact"/>
        <w:ind w:firstLine="640" w:firstLineChars="200"/>
        <w:outlineLvl w:val="2"/>
        <w:rPr>
          <w:rFonts w:eastAsia="楷体"/>
          <w:color w:val="000000"/>
          <w:kern w:val="0"/>
          <w:szCs w:val="32"/>
        </w:rPr>
      </w:pPr>
      <w:bookmarkStart w:id="303" w:name="_Toc10358"/>
      <w:r>
        <w:rPr>
          <w:rFonts w:eastAsia="楷体"/>
          <w:color w:val="000000"/>
          <w:kern w:val="0"/>
          <w:szCs w:val="32"/>
        </w:rPr>
        <w:t>（一）健康养老产业集聚工程</w:t>
      </w:r>
      <w:bookmarkEnd w:id="301"/>
      <w:bookmarkEnd w:id="303"/>
    </w:p>
    <w:p>
      <w:pPr>
        <w:spacing w:line="580" w:lineRule="exact"/>
        <w:ind w:firstLine="640" w:firstLineChars="200"/>
        <w:rPr>
          <w:color w:val="000000"/>
          <w:kern w:val="0"/>
          <w:szCs w:val="32"/>
        </w:rPr>
      </w:pPr>
      <w:r>
        <w:rPr>
          <w:color w:val="000000"/>
          <w:kern w:val="0"/>
          <w:szCs w:val="32"/>
        </w:rPr>
        <w:t>引进国内外著名健康养老机构或企业，以现有的健康养老中心、健康产业园、中医药研创基地、康复生态园、旅游度假村等为基础，建立适合城市发展需要的集养老、养生、康复、医疗、旅游等为一体的新型健康养老产业园区。</w:t>
      </w:r>
    </w:p>
    <w:p>
      <w:pPr>
        <w:spacing w:line="580" w:lineRule="exact"/>
        <w:ind w:firstLine="640" w:firstLineChars="200"/>
        <w:outlineLvl w:val="2"/>
        <w:rPr>
          <w:rFonts w:eastAsia="楷体"/>
          <w:color w:val="000000"/>
          <w:kern w:val="0"/>
          <w:szCs w:val="32"/>
        </w:rPr>
      </w:pPr>
      <w:bookmarkStart w:id="304" w:name="_Toc22039"/>
      <w:bookmarkStart w:id="305" w:name="_Toc4276"/>
      <w:r>
        <w:rPr>
          <w:rFonts w:eastAsia="楷体"/>
          <w:color w:val="000000"/>
          <w:kern w:val="0"/>
          <w:szCs w:val="32"/>
        </w:rPr>
        <w:t>（二）“互联网+健康养老”工程</w:t>
      </w:r>
      <w:bookmarkEnd w:id="304"/>
      <w:bookmarkEnd w:id="305"/>
    </w:p>
    <w:p>
      <w:pPr>
        <w:spacing w:line="580" w:lineRule="exact"/>
        <w:ind w:firstLine="640" w:firstLineChars="200"/>
        <w:rPr>
          <w:color w:val="000000"/>
          <w:kern w:val="0"/>
          <w:szCs w:val="32"/>
        </w:rPr>
      </w:pPr>
      <w:r>
        <w:rPr>
          <w:color w:val="000000"/>
          <w:kern w:val="0"/>
          <w:szCs w:val="32"/>
        </w:rPr>
        <w:t>借力“互联网+医疗健康”体系建设，鼓励医养服务机构或养老服务机构参与推进“互联网+健康养老”工程建设，建立健康养老信息服务平台，研发应用移动应用软件(APP)，融合健康档案，医疗救治，康复护理，药食材、养生餐食信息查阅等综合功能，引进健康监测可穿戴设备、自助式健康检测设备、智能养老监护设备、家庭服务机器人等数据应用设备，建设“互联网+健康养老”工程。</w:t>
      </w:r>
    </w:p>
    <w:p>
      <w:pPr>
        <w:pStyle w:val="2"/>
        <w:widowControl w:val="0"/>
        <w:spacing w:before="0" w:after="0" w:line="580" w:lineRule="exact"/>
        <w:ind w:left="0" w:leftChars="0" w:firstLine="640"/>
        <w:jc w:val="both"/>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以上两类项目如符合当年度服务业发展引导资金项目征集通知相关要求，可申报自治区服务业引导资金支持（不含企业以各种形式参与政府投资的项目）。支持方式为直接补助和后补助，直接补助主要支持符合申报条件的企业投资正在建设的项目，后补助主要支持符合申报条件的投资进度已完成三分之二或达到试运行条件的企业投资建设项目。</w:t>
      </w:r>
    </w:p>
    <w:p>
      <w:pPr>
        <w:pStyle w:val="2"/>
        <w:widowControl w:val="0"/>
        <w:spacing w:before="0" w:after="0" w:line="580" w:lineRule="exact"/>
        <w:ind w:left="0" w:leftChars="0" w:firstLine="640"/>
        <w:jc w:val="both"/>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申报条件为：一是申报企业在我区依法注册原则上满两年，具有独立法人资格，企业管理规范，依法纳税，经营状况和信用良好，近三年未有违法违规违纪等情况。二是申报的建设项目要符合国家产业政策，项目总投资规模原则上不低于1000万元，且项目建设资金已基本落实，自由资金比例不低于总投资的1/3。三是申报的建设项目按照固定资产投资有关规定，办理规划、土地、备案（核准）、环评、建设等各项前期手续（视项目实际情况提供资料）。四是申报企业按照要求客观实际编制项目资金申请报告和提供相关资料。</w:t>
      </w:r>
    </w:p>
    <w:p>
      <w:pPr>
        <w:pStyle w:val="2"/>
        <w:widowControl w:val="0"/>
        <w:spacing w:before="0" w:after="0" w:line="580" w:lineRule="exact"/>
        <w:ind w:left="0" w:leftChars="0" w:firstLine="640"/>
        <w:jc w:val="both"/>
        <w:outlineLvl w:val="2"/>
        <w:rPr>
          <w:rFonts w:ascii="Times New Roman" w:hAnsi="Times New Roman" w:eastAsia="楷体"/>
          <w:sz w:val="32"/>
          <w:szCs w:val="32"/>
          <w:lang w:val="en-US" w:eastAsia="zh-CN"/>
        </w:rPr>
      </w:pPr>
      <w:bookmarkStart w:id="306" w:name="_Toc21055"/>
      <w:bookmarkStart w:id="307" w:name="_Toc20531"/>
      <w:r>
        <w:rPr>
          <w:rFonts w:ascii="Times New Roman" w:hAnsi="Times New Roman" w:eastAsia="楷体"/>
          <w:sz w:val="32"/>
          <w:szCs w:val="32"/>
          <w:lang w:val="en-US" w:eastAsia="zh-CN"/>
        </w:rPr>
        <w:t>（三）医养结合示范工程</w:t>
      </w:r>
      <w:bookmarkEnd w:id="306"/>
      <w:bookmarkEnd w:id="307"/>
    </w:p>
    <w:p>
      <w:pPr>
        <w:pStyle w:val="2"/>
        <w:widowControl w:val="0"/>
        <w:spacing w:before="0" w:after="0" w:line="580" w:lineRule="exact"/>
        <w:ind w:left="0" w:leftChars="0" w:firstLine="640"/>
        <w:jc w:val="both"/>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探索建设养老、医疗、康复为一体的健康养老产业基地，建设医养结合示范项目，逐步形成银川都市圈医养结合养老体系，构建医养结合养老服务集聚区。</w:t>
      </w:r>
      <w:bookmarkStart w:id="308" w:name="_Toc23643"/>
    </w:p>
    <w:p>
      <w:pPr>
        <w:spacing w:line="580" w:lineRule="exact"/>
        <w:ind w:firstLine="640" w:firstLineChars="200"/>
        <w:outlineLvl w:val="2"/>
        <w:rPr>
          <w:b/>
          <w:bCs/>
          <w:color w:val="000000"/>
          <w:kern w:val="0"/>
          <w:szCs w:val="32"/>
          <w:shd w:val="clear" w:color="auto" w:fill="FFFFFF"/>
          <w:lang w:bidi="ar"/>
        </w:rPr>
      </w:pPr>
      <w:bookmarkStart w:id="309" w:name="_Toc19710"/>
      <w:r>
        <w:rPr>
          <w:rFonts w:eastAsia="黑体"/>
          <w:color w:val="000000"/>
          <w:kern w:val="0"/>
          <w:szCs w:val="32"/>
        </w:rPr>
        <w:t>三、</w:t>
      </w:r>
      <w:r>
        <w:rPr>
          <w:rStyle w:val="17"/>
          <w:rFonts w:eastAsia="黑体"/>
          <w:color w:val="000000"/>
          <w:kern w:val="0"/>
          <w:szCs w:val="32"/>
          <w:shd w:val="clear" w:color="auto" w:fill="FFFFFF"/>
          <w:lang w:bidi="ar"/>
        </w:rPr>
        <w:t>信息科技服务业</w:t>
      </w:r>
      <w:bookmarkEnd w:id="308"/>
      <w:bookmarkEnd w:id="309"/>
      <w:bookmarkStart w:id="310" w:name="_Toc26104"/>
    </w:p>
    <w:p>
      <w:pPr>
        <w:spacing w:line="580" w:lineRule="exact"/>
        <w:outlineLvl w:val="2"/>
        <w:rPr>
          <w:b/>
          <w:bCs/>
          <w:color w:val="000000"/>
          <w:kern w:val="0"/>
          <w:szCs w:val="32"/>
          <w:shd w:val="clear" w:color="auto" w:fill="FFFFFF"/>
          <w:lang w:bidi="ar"/>
        </w:rPr>
      </w:pPr>
      <w:r>
        <w:rPr>
          <w:b/>
          <w:bCs/>
          <w:color w:val="000000"/>
          <w:kern w:val="0"/>
          <w:szCs w:val="32"/>
          <w:shd w:val="clear" w:color="auto" w:fill="FFFFFF"/>
          <w:lang w:bidi="ar"/>
        </w:rPr>
        <w:t xml:space="preserve">  </w:t>
      </w:r>
      <w:r>
        <w:rPr>
          <w:rFonts w:eastAsia="楷体"/>
          <w:color w:val="000000"/>
          <w:kern w:val="0"/>
          <w:szCs w:val="32"/>
          <w:shd w:val="clear" w:color="auto" w:fill="FFFFFF"/>
          <w:lang w:bidi="ar"/>
        </w:rPr>
        <w:t xml:space="preserve">  </w:t>
      </w:r>
      <w:bookmarkStart w:id="311" w:name="_Toc30967"/>
      <w:r>
        <w:rPr>
          <w:rFonts w:eastAsia="楷体"/>
          <w:color w:val="000000"/>
          <w:kern w:val="0"/>
          <w:szCs w:val="32"/>
          <w:shd w:val="clear" w:color="auto" w:fill="FFFFFF"/>
          <w:lang w:bidi="ar"/>
        </w:rPr>
        <w:t>（一）电子商务</w:t>
      </w:r>
      <w:bookmarkEnd w:id="311"/>
    </w:p>
    <w:p>
      <w:pPr>
        <w:spacing w:line="580" w:lineRule="exact"/>
        <w:ind w:firstLine="640" w:firstLineChars="200"/>
        <w:rPr>
          <w:b/>
          <w:color w:val="000000"/>
          <w:kern w:val="0"/>
          <w:szCs w:val="32"/>
        </w:rPr>
      </w:pPr>
      <w:r>
        <w:rPr>
          <w:color w:val="000000"/>
          <w:kern w:val="0"/>
          <w:szCs w:val="32"/>
          <w:shd w:val="clear" w:color="auto" w:fill="FFFFFF"/>
          <w:lang w:bidi="ar"/>
        </w:rPr>
        <w:t>紧密结合智慧城市建设工程，依托银川市“国家跨境电子商务综合试验区”建设，充分利用互联网和物联网、大数据技术，推动农村电子商务、跨境电子商务分发展的项目。</w:t>
      </w:r>
      <w:bookmarkEnd w:id="310"/>
    </w:p>
    <w:p>
      <w:pPr>
        <w:spacing w:line="580" w:lineRule="exact"/>
        <w:outlineLvl w:val="2"/>
        <w:rPr>
          <w:color w:val="000000"/>
          <w:kern w:val="0"/>
          <w:szCs w:val="32"/>
          <w:shd w:val="clear" w:color="auto" w:fill="FFFFFF"/>
          <w:lang w:bidi="ar"/>
        </w:rPr>
      </w:pPr>
      <w:bookmarkStart w:id="312" w:name="_Toc9792"/>
      <w:r>
        <w:rPr>
          <w:color w:val="000000"/>
          <w:kern w:val="0"/>
          <w:szCs w:val="32"/>
          <w:shd w:val="clear" w:color="auto" w:fill="FFFFFF"/>
          <w:lang w:bidi="ar"/>
        </w:rPr>
        <w:t xml:space="preserve">    </w:t>
      </w:r>
      <w:bookmarkStart w:id="313" w:name="_Toc20847"/>
      <w:r>
        <w:rPr>
          <w:rFonts w:eastAsia="楷体"/>
          <w:color w:val="000000"/>
          <w:kern w:val="0"/>
          <w:szCs w:val="32"/>
          <w:shd w:val="clear" w:color="auto" w:fill="FFFFFF"/>
          <w:lang w:bidi="ar"/>
        </w:rPr>
        <w:t>（二）公共服务平台</w:t>
      </w:r>
      <w:bookmarkEnd w:id="313"/>
    </w:p>
    <w:p>
      <w:pPr>
        <w:spacing w:line="580" w:lineRule="exact"/>
        <w:rPr>
          <w:color w:val="000000"/>
          <w:kern w:val="0"/>
          <w:szCs w:val="32"/>
          <w:shd w:val="clear" w:color="auto" w:fill="FFFFFF"/>
          <w:lang w:bidi="ar"/>
        </w:rPr>
      </w:pPr>
      <w:r>
        <w:rPr>
          <w:color w:val="000000"/>
          <w:kern w:val="0"/>
          <w:szCs w:val="32"/>
          <w:shd w:val="clear" w:color="auto" w:fill="FFFFFF"/>
          <w:lang w:bidi="ar"/>
        </w:rPr>
        <w:t xml:space="preserve">    依托中卫云基地、银川IBI育成中心等，运用大数据、云计算等信息技术，构建各种专业及综合技术研发平台、招商引资平台、管理创新平台、中介服务平台等的项目。</w:t>
      </w:r>
      <w:bookmarkEnd w:id="312"/>
    </w:p>
    <w:p>
      <w:pPr>
        <w:pStyle w:val="23"/>
        <w:spacing w:line="580" w:lineRule="exact"/>
        <w:jc w:val="left"/>
        <w:outlineLvl w:val="2"/>
        <w:rPr>
          <w:rFonts w:ascii="Times New Roman" w:hAnsi="Times New Roman" w:eastAsia="仿宋_GB2312"/>
          <w:color w:val="000000"/>
          <w:kern w:val="0"/>
          <w:sz w:val="32"/>
          <w:szCs w:val="32"/>
        </w:rPr>
      </w:pPr>
      <w:bookmarkStart w:id="314" w:name="_Toc3900"/>
      <w:r>
        <w:rPr>
          <w:rFonts w:ascii="Times New Roman" w:hAnsi="Times New Roman" w:eastAsia="仿宋_GB2312"/>
          <w:color w:val="000000"/>
          <w:kern w:val="0"/>
          <w:sz w:val="32"/>
          <w:szCs w:val="32"/>
        </w:rPr>
        <w:t xml:space="preserve">    </w:t>
      </w:r>
      <w:bookmarkStart w:id="315" w:name="_Toc10385"/>
      <w:r>
        <w:rPr>
          <w:rFonts w:ascii="Times New Roman" w:hAnsi="Times New Roman" w:eastAsia="楷体"/>
          <w:b w:val="0"/>
          <w:bCs/>
          <w:color w:val="000000"/>
          <w:kern w:val="0"/>
          <w:sz w:val="32"/>
          <w:szCs w:val="32"/>
        </w:rPr>
        <w:t>（三）工业互联网创新发展</w:t>
      </w:r>
      <w:bookmarkEnd w:id="314"/>
      <w:bookmarkEnd w:id="315"/>
    </w:p>
    <w:p>
      <w:pPr>
        <w:pStyle w:val="23"/>
        <w:spacing w:line="580" w:lineRule="exact"/>
        <w:ind w:firstLine="640" w:firstLineChars="200"/>
        <w:jc w:val="left"/>
        <w:rPr>
          <w:rFonts w:ascii="Times New Roman" w:hAnsi="Times New Roman" w:eastAsia="仿宋_GB2312"/>
          <w:b w:val="0"/>
          <w:color w:val="000000"/>
          <w:spacing w:val="-6"/>
          <w:kern w:val="0"/>
          <w:sz w:val="32"/>
          <w:szCs w:val="32"/>
          <w:shd w:val="clear" w:color="auto" w:fill="FFFFFF"/>
          <w:lang w:bidi="ar"/>
        </w:rPr>
      </w:pPr>
      <w:r>
        <w:rPr>
          <w:rFonts w:ascii="Times New Roman" w:hAnsi="Times New Roman" w:eastAsia="仿宋_GB2312"/>
          <w:b w:val="0"/>
          <w:color w:val="000000"/>
          <w:kern w:val="0"/>
          <w:sz w:val="32"/>
          <w:szCs w:val="32"/>
          <w:shd w:val="clear" w:color="auto" w:fill="FFFFFF"/>
          <w:lang w:bidi="ar"/>
        </w:rPr>
        <w:t>全</w:t>
      </w:r>
      <w:r>
        <w:rPr>
          <w:rFonts w:ascii="Times New Roman" w:hAnsi="Times New Roman" w:eastAsia="仿宋_GB2312"/>
          <w:b w:val="0"/>
          <w:color w:val="000000"/>
          <w:spacing w:val="-6"/>
          <w:kern w:val="0"/>
          <w:sz w:val="32"/>
          <w:szCs w:val="32"/>
          <w:shd w:val="clear" w:color="auto" w:fill="FFFFFF"/>
          <w:lang w:bidi="ar"/>
        </w:rPr>
        <w:t>区工业龙头企业建设的大型工业互联网平台；互联网、大数据、人工智能和制造业深度融合，加快发展工业互联网建设项目。</w:t>
      </w:r>
    </w:p>
    <w:p>
      <w:pPr>
        <w:pStyle w:val="2"/>
        <w:widowControl w:val="0"/>
        <w:spacing w:before="0" w:after="0" w:line="580" w:lineRule="exact"/>
        <w:ind w:left="0" w:leftChars="0" w:firstLine="640"/>
        <w:jc w:val="both"/>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以上三类项目如符合当年度服务业发展引导资金项目征集通知相关要求，可申报自治区服务业引导资金支持（不含企业以各种形式参与政府投资的项目）。支持方式为直接补助和后补助，直接补助主要支持符合申报条件的企业投资正在建设的项目，后补助主要支持符合申报条件的投资进度已完成三分之二或达到试运行条件的企业投资建设项目。</w:t>
      </w:r>
    </w:p>
    <w:p>
      <w:pPr>
        <w:pStyle w:val="2"/>
        <w:widowControl w:val="0"/>
        <w:spacing w:before="0" w:after="0" w:line="580" w:lineRule="exact"/>
        <w:ind w:left="0" w:leftChars="0" w:firstLine="640"/>
        <w:jc w:val="both"/>
        <w:rPr>
          <w:rFonts w:ascii="Times New Roman" w:hAnsi="Times New Roman" w:eastAsia="仿宋_GB2312"/>
          <w:kern w:val="0"/>
          <w:sz w:val="32"/>
          <w:szCs w:val="32"/>
          <w:shd w:val="clear" w:color="auto" w:fill="FFFFFF"/>
          <w:lang w:val="en-US" w:eastAsia="zh-CN" w:bidi="ar"/>
        </w:rPr>
      </w:pPr>
      <w:r>
        <w:rPr>
          <w:rFonts w:ascii="Times New Roman" w:hAnsi="Times New Roman" w:eastAsia="仿宋_GB2312"/>
          <w:sz w:val="32"/>
          <w:szCs w:val="32"/>
          <w:lang w:val="en-US" w:eastAsia="zh-CN"/>
        </w:rPr>
        <w:t>申报条件为：一是申报企业在我区依法注册原则上满两年，具有独立法人资格，企业管理规范，依法纳税，经营状况和信用良好，近三年未有违法违规违纪等情况。二是申报的建设项目要符合国家产业政策，项目总投资规模原则上不低于1000万元，且项目建设资金已基本落实，自由资金比例不低于总投资的1/3。三是申报的建设项目按照固定资产投资有关规定，办理规划、土地、备案（核准）、环评、建设等各项前期手续（视项目实际情况提供资料）。四是申报企业按照要求客观实际编制项目资金申请报告和提供相关资料。</w:t>
      </w:r>
    </w:p>
    <w:p>
      <w:pPr>
        <w:spacing w:line="580" w:lineRule="exact"/>
        <w:ind w:firstLine="640" w:firstLineChars="200"/>
        <w:outlineLvl w:val="2"/>
        <w:rPr>
          <w:rFonts w:eastAsia="楷体"/>
          <w:bCs/>
          <w:color w:val="000000"/>
          <w:kern w:val="0"/>
          <w:szCs w:val="32"/>
        </w:rPr>
      </w:pPr>
      <w:bookmarkStart w:id="316" w:name="_Toc24698"/>
      <w:bookmarkStart w:id="317" w:name="_Toc21309"/>
      <w:r>
        <w:rPr>
          <w:rFonts w:eastAsia="楷体"/>
          <w:bCs/>
          <w:color w:val="000000"/>
          <w:kern w:val="0"/>
          <w:szCs w:val="32"/>
        </w:rPr>
        <w:t>（四）重点产业园区数字化改造工程</w:t>
      </w:r>
      <w:bookmarkEnd w:id="316"/>
      <w:bookmarkEnd w:id="317"/>
    </w:p>
    <w:p>
      <w:pPr>
        <w:spacing w:line="580" w:lineRule="exact"/>
        <w:ind w:firstLine="640"/>
        <w:rPr>
          <w:color w:val="000000"/>
          <w:kern w:val="0"/>
          <w:szCs w:val="32"/>
          <w:shd w:val="clear" w:color="auto" w:fill="FFFFFF"/>
          <w:lang w:bidi="ar"/>
        </w:rPr>
      </w:pPr>
      <w:bookmarkStart w:id="318" w:name="_Toc21778"/>
      <w:r>
        <w:rPr>
          <w:color w:val="000000"/>
          <w:kern w:val="0"/>
          <w:szCs w:val="32"/>
          <w:shd w:val="clear" w:color="auto" w:fill="FFFFFF"/>
          <w:lang w:bidi="ar"/>
        </w:rPr>
        <w:t>有效利用互联网、物联网、云计算、大数据、智能化技术，改善宁东、银川经济技术开发区等重点园区基础设施设备信息化程度的建设项目。</w:t>
      </w:r>
    </w:p>
    <w:p>
      <w:pPr>
        <w:spacing w:line="580" w:lineRule="exact"/>
        <w:ind w:firstLine="640"/>
        <w:outlineLvl w:val="2"/>
        <w:rPr>
          <w:color w:val="000000"/>
          <w:szCs w:val="32"/>
        </w:rPr>
      </w:pPr>
      <w:bookmarkStart w:id="319" w:name="_Toc9218"/>
      <w:r>
        <w:rPr>
          <w:rFonts w:eastAsia="楷体"/>
          <w:bCs/>
          <w:color w:val="000000"/>
          <w:szCs w:val="32"/>
        </w:rPr>
        <w:t>（五）通信</w:t>
      </w:r>
      <w:bookmarkEnd w:id="319"/>
    </w:p>
    <w:p>
      <w:pPr>
        <w:spacing w:line="580" w:lineRule="exact"/>
        <w:ind w:firstLine="640"/>
        <w:rPr>
          <w:color w:val="000000"/>
          <w:szCs w:val="32"/>
        </w:rPr>
      </w:pPr>
      <w:r>
        <w:rPr>
          <w:color w:val="000000"/>
          <w:szCs w:val="32"/>
        </w:rPr>
        <w:t>建设新一代信息基础设施。深入推进宽带网络光纤化改造，加快</w:t>
      </w:r>
      <w:r>
        <w:rPr>
          <w:color w:val="000000"/>
          <w:kern w:val="0"/>
          <w:szCs w:val="32"/>
        </w:rPr>
        <w:t>实施中小城市基础网络完善工程，</w:t>
      </w:r>
      <w:r>
        <w:rPr>
          <w:color w:val="000000"/>
          <w:szCs w:val="32"/>
        </w:rPr>
        <w:t>提升农村地区宽带用户接入速率和普及水平。深入推进IPv6规模部署，加快网络和应用升级改造，全面提高基于IPv6的互联网接入能力。</w:t>
      </w:r>
      <w:r>
        <w:rPr>
          <w:color w:val="000000"/>
          <w:kern w:val="0"/>
          <w:szCs w:val="32"/>
        </w:rPr>
        <w:t>加快基于5G通信技术的网络规划建设，在重点区域开展5G规模组网及配套基础设施改造建设，推进在工业园区智能控制、超高清直播、智慧景区、远程医疗、视频监控等场景率先开展</w:t>
      </w:r>
      <w:r>
        <w:rPr>
          <w:color w:val="000000"/>
          <w:szCs w:val="32"/>
        </w:rPr>
        <w:t>5G行业应用，推动实现5G规模部署和产业应用。</w:t>
      </w:r>
    </w:p>
    <w:p>
      <w:pPr>
        <w:spacing w:line="580" w:lineRule="exact"/>
        <w:ind w:firstLine="640"/>
        <w:outlineLvl w:val="2"/>
        <w:rPr>
          <w:b/>
          <w:bCs/>
          <w:color w:val="000000"/>
          <w:kern w:val="0"/>
          <w:szCs w:val="32"/>
          <w:shd w:val="clear" w:color="auto" w:fill="FFFFFF"/>
          <w:lang w:bidi="ar"/>
        </w:rPr>
      </w:pPr>
      <w:bookmarkStart w:id="320" w:name="_Toc28177"/>
      <w:r>
        <w:rPr>
          <w:rFonts w:eastAsia="楷体"/>
          <w:color w:val="000000"/>
          <w:kern w:val="0"/>
          <w:szCs w:val="32"/>
          <w:shd w:val="clear" w:color="auto" w:fill="FFFFFF"/>
          <w:lang w:bidi="ar"/>
        </w:rPr>
        <w:t>（六）信息技术示范</w:t>
      </w:r>
      <w:bookmarkEnd w:id="320"/>
    </w:p>
    <w:p>
      <w:pPr>
        <w:spacing w:line="580" w:lineRule="exact"/>
        <w:rPr>
          <w:color w:val="000000"/>
          <w:szCs w:val="32"/>
        </w:rPr>
      </w:pPr>
      <w:r>
        <w:rPr>
          <w:color w:val="000000"/>
          <w:kern w:val="0"/>
          <w:szCs w:val="32"/>
          <w:shd w:val="clear" w:color="auto" w:fill="FFFFFF"/>
          <w:lang w:bidi="ar"/>
        </w:rPr>
        <w:t xml:space="preserve">    积极推进银川中关村双创园、丝路经济园等建设，创建软件及信息技术服务业示范基地，谋划建设一批数据中心、灾备中心和信息服务平台，谋划一批动漫游戏产业、大数据服务、软件服务外包产业和“云计算”等新型业态创新示范类重大项目。</w:t>
      </w:r>
    </w:p>
    <w:p>
      <w:pPr>
        <w:spacing w:line="580" w:lineRule="exact"/>
        <w:ind w:left="640"/>
        <w:outlineLvl w:val="1"/>
        <w:rPr>
          <w:rFonts w:eastAsia="黑体"/>
          <w:color w:val="000000"/>
          <w:kern w:val="0"/>
          <w:szCs w:val="32"/>
          <w:shd w:val="clear" w:color="auto" w:fill="FFFFFF"/>
          <w:lang w:bidi="ar"/>
        </w:rPr>
      </w:pPr>
      <w:bookmarkStart w:id="321" w:name="_Toc3743"/>
      <w:r>
        <w:rPr>
          <w:rFonts w:eastAsia="黑体"/>
          <w:color w:val="000000"/>
          <w:kern w:val="0"/>
          <w:szCs w:val="32"/>
          <w:shd w:val="clear" w:color="auto" w:fill="FFFFFF"/>
          <w:lang w:bidi="ar"/>
        </w:rPr>
        <w:t>四、金融服务业</w:t>
      </w:r>
      <w:bookmarkEnd w:id="321"/>
    </w:p>
    <w:p>
      <w:pPr>
        <w:spacing w:line="580" w:lineRule="exact"/>
        <w:outlineLvl w:val="2"/>
        <w:rPr>
          <w:b/>
          <w:color w:val="000000"/>
          <w:kern w:val="0"/>
          <w:szCs w:val="32"/>
        </w:rPr>
      </w:pPr>
      <w:r>
        <w:rPr>
          <w:b/>
          <w:color w:val="000000"/>
          <w:kern w:val="0"/>
          <w:szCs w:val="32"/>
        </w:rPr>
        <w:t xml:space="preserve">    </w:t>
      </w:r>
      <w:bookmarkStart w:id="322" w:name="_Toc15031"/>
      <w:r>
        <w:rPr>
          <w:rFonts w:eastAsia="楷体"/>
          <w:bCs/>
          <w:color w:val="000000"/>
          <w:kern w:val="0"/>
          <w:szCs w:val="32"/>
        </w:rPr>
        <w:t>（一）阅海湾中央商务区金融集聚工程</w:t>
      </w:r>
      <w:bookmarkEnd w:id="318"/>
      <w:bookmarkEnd w:id="322"/>
    </w:p>
    <w:p>
      <w:pPr>
        <w:spacing w:line="580" w:lineRule="exact"/>
        <w:ind w:firstLine="640" w:firstLineChars="200"/>
        <w:rPr>
          <w:color w:val="000000"/>
          <w:kern w:val="0"/>
          <w:szCs w:val="32"/>
        </w:rPr>
      </w:pPr>
      <w:bookmarkStart w:id="323" w:name="_Toc17917"/>
      <w:r>
        <w:rPr>
          <w:color w:val="000000"/>
          <w:kern w:val="0"/>
          <w:szCs w:val="32"/>
        </w:rPr>
        <w:t>吸引财富管理机构、私募投资机构、普惠金融、绿色金融、金融大数据机构、金融要素市场等新金融业态集聚发展，高质量建设完善金融基础设施的建设项目。</w:t>
      </w:r>
      <w:bookmarkEnd w:id="323"/>
    </w:p>
    <w:p>
      <w:pPr>
        <w:spacing w:line="580" w:lineRule="exact"/>
        <w:ind w:firstLine="640" w:firstLineChars="200"/>
        <w:outlineLvl w:val="2"/>
        <w:rPr>
          <w:rFonts w:eastAsia="楷体"/>
          <w:bCs/>
          <w:color w:val="000000"/>
          <w:kern w:val="0"/>
          <w:szCs w:val="32"/>
        </w:rPr>
      </w:pPr>
      <w:bookmarkStart w:id="324" w:name="_Toc12333"/>
      <w:bookmarkStart w:id="325" w:name="_Toc12117"/>
      <w:r>
        <w:rPr>
          <w:rFonts w:eastAsia="楷体"/>
          <w:bCs/>
          <w:color w:val="000000"/>
          <w:kern w:val="0"/>
          <w:szCs w:val="32"/>
        </w:rPr>
        <w:t>（二）金融产品与服务创新工程</w:t>
      </w:r>
      <w:bookmarkEnd w:id="324"/>
      <w:bookmarkEnd w:id="325"/>
    </w:p>
    <w:p>
      <w:pPr>
        <w:spacing w:line="580" w:lineRule="exact"/>
        <w:ind w:firstLine="640" w:firstLineChars="200"/>
        <w:rPr>
          <w:color w:val="000000"/>
          <w:kern w:val="0"/>
          <w:szCs w:val="32"/>
        </w:rPr>
      </w:pPr>
      <w:r>
        <w:rPr>
          <w:color w:val="000000"/>
          <w:kern w:val="0"/>
          <w:szCs w:val="32"/>
        </w:rPr>
        <w:t>鼓励金融机构利用云计算、移动互联网、大数据等技术手段，开展基于大数据应用的融资、储蓄、保险、清算等金融服务，建设的创新个性化、精准化的金融产品和服务项目。</w:t>
      </w:r>
    </w:p>
    <w:p>
      <w:pPr>
        <w:spacing w:line="580" w:lineRule="exact"/>
        <w:ind w:firstLine="640" w:firstLineChars="200"/>
        <w:outlineLvl w:val="2"/>
        <w:rPr>
          <w:rFonts w:eastAsia="楷体"/>
          <w:bCs/>
          <w:color w:val="000000"/>
          <w:kern w:val="0"/>
          <w:szCs w:val="32"/>
        </w:rPr>
      </w:pPr>
      <w:bookmarkStart w:id="326" w:name="_Toc6713"/>
      <w:bookmarkStart w:id="327" w:name="_Toc16436"/>
      <w:r>
        <w:rPr>
          <w:rFonts w:eastAsia="楷体"/>
          <w:bCs/>
          <w:color w:val="000000"/>
          <w:kern w:val="0"/>
          <w:szCs w:val="32"/>
        </w:rPr>
        <w:t>（三）金融科技企业培育工程</w:t>
      </w:r>
      <w:bookmarkEnd w:id="326"/>
      <w:bookmarkEnd w:id="327"/>
    </w:p>
    <w:p>
      <w:pPr>
        <w:spacing w:line="580" w:lineRule="exact"/>
        <w:ind w:firstLine="640" w:firstLineChars="200"/>
        <w:rPr>
          <w:color w:val="000000"/>
          <w:kern w:val="0"/>
          <w:szCs w:val="32"/>
        </w:rPr>
      </w:pPr>
      <w:r>
        <w:rPr>
          <w:color w:val="000000"/>
          <w:kern w:val="0"/>
          <w:szCs w:val="32"/>
        </w:rPr>
        <w:t>创造条件，吸引外地金融科技企业进驻银川，发展支付结算、消费金融、供应链金融、区块链金融以及云计算、大数据等相关产业项目，重点集聚金融安全技术、第三方支付、智能投顾、区块链金融、大数据征信等领域的金融科技企业。</w:t>
      </w:r>
    </w:p>
    <w:p>
      <w:pPr>
        <w:pStyle w:val="2"/>
        <w:widowControl w:val="0"/>
        <w:spacing w:before="0" w:after="0" w:line="580" w:lineRule="exact"/>
        <w:ind w:left="0" w:leftChars="0" w:firstLine="640"/>
        <w:jc w:val="both"/>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以上项目如符合当年度服务业发展引导资金项目征集通知相关要求，可申报自治区服务业引导资金支持（不含企业以各种形式参与政府投资的项目）。支持方式为直接补助和后补助，直接补助主要支持符合申报条件的企业投资正在建设的项目，后补助主要支持符合申报条件的投资进度已完成三分之二或达到试运行条件的企业投资建设项目。</w:t>
      </w:r>
    </w:p>
    <w:p>
      <w:pPr>
        <w:pStyle w:val="2"/>
        <w:widowControl w:val="0"/>
        <w:spacing w:before="0" w:after="0" w:line="580" w:lineRule="exact"/>
        <w:ind w:left="0" w:leftChars="0" w:firstLine="640"/>
        <w:jc w:val="both"/>
        <w:rPr>
          <w:rFonts w:ascii="Times New Roman" w:hAnsi="Times New Roman" w:eastAsia="仿宋_GB2312"/>
          <w:kern w:val="0"/>
          <w:sz w:val="32"/>
          <w:szCs w:val="32"/>
          <w:lang w:eastAsia="zh-CN"/>
        </w:rPr>
      </w:pPr>
      <w:r>
        <w:rPr>
          <w:rFonts w:ascii="Times New Roman" w:hAnsi="Times New Roman" w:eastAsia="仿宋_GB2312"/>
          <w:sz w:val="32"/>
          <w:szCs w:val="32"/>
          <w:lang w:val="en-US" w:eastAsia="zh-CN"/>
        </w:rPr>
        <w:t>申报条件为：一是申报企业在我区依法注册原则上满两年，具有独立法人资格，企业管理规范，依法纳税，经营状况和信用良好，近三年未有违法违规违纪等情况。二是申报的建设项目要符合国家产业政策，项目总投资规模原则上不低于1000万元，且项目建设资金已基本落实，自由资金比例不低于总投资的1/3。三是申报的建设项目按照固定资产投资有关规定，办理规划、土地、备案（核准）、环评、建设等各项前期手续（视项目实际情况提供资料）。四是申报企业按照要求客观实际编制项目资金申请报告和提供相关资料。</w:t>
      </w:r>
    </w:p>
    <w:p>
      <w:pPr>
        <w:pStyle w:val="23"/>
        <w:spacing w:line="580" w:lineRule="exact"/>
        <w:ind w:left="561"/>
        <w:jc w:val="left"/>
        <w:outlineLvl w:val="1"/>
        <w:rPr>
          <w:rFonts w:ascii="Times New Roman" w:hAnsi="Times New Roman" w:eastAsia="仿宋_GB2312"/>
          <w:color w:val="000000"/>
          <w:kern w:val="0"/>
          <w:sz w:val="32"/>
          <w:szCs w:val="32"/>
        </w:rPr>
      </w:pPr>
      <w:bookmarkStart w:id="328" w:name="_Toc29980"/>
      <w:bookmarkStart w:id="329" w:name="_Toc1007"/>
      <w:r>
        <w:rPr>
          <w:rFonts w:ascii="Times New Roman" w:hAnsi="Times New Roman" w:eastAsia="黑体"/>
          <w:b w:val="0"/>
          <w:color w:val="000000"/>
          <w:kern w:val="0"/>
          <w:sz w:val="32"/>
          <w:szCs w:val="32"/>
          <w:shd w:val="clear" w:color="auto" w:fill="FFFFFF"/>
          <w:lang w:bidi="ar"/>
        </w:rPr>
        <w:t>五、现代物流产业</w:t>
      </w:r>
      <w:bookmarkEnd w:id="328"/>
    </w:p>
    <w:p>
      <w:pPr>
        <w:spacing w:line="580" w:lineRule="exact"/>
        <w:ind w:firstLine="640" w:firstLineChars="200"/>
        <w:outlineLvl w:val="2"/>
        <w:rPr>
          <w:rFonts w:eastAsia="楷体"/>
          <w:color w:val="000000"/>
          <w:kern w:val="0"/>
          <w:szCs w:val="32"/>
        </w:rPr>
      </w:pPr>
      <w:bookmarkStart w:id="330" w:name="_Toc17606"/>
      <w:r>
        <w:rPr>
          <w:rFonts w:eastAsia="楷体"/>
          <w:color w:val="000000"/>
          <w:kern w:val="0"/>
          <w:szCs w:val="32"/>
        </w:rPr>
        <w:t>（一）智慧物流产业链建设工程</w:t>
      </w:r>
      <w:bookmarkEnd w:id="329"/>
      <w:bookmarkEnd w:id="330"/>
    </w:p>
    <w:p>
      <w:pPr>
        <w:pStyle w:val="23"/>
        <w:spacing w:line="580" w:lineRule="exact"/>
        <w:ind w:firstLine="640" w:firstLineChars="200"/>
        <w:jc w:val="left"/>
        <w:rPr>
          <w:rFonts w:ascii="Times New Roman" w:hAnsi="Times New Roman" w:eastAsia="仿宋_GB2312"/>
          <w:b w:val="0"/>
          <w:color w:val="000000"/>
          <w:kern w:val="0"/>
          <w:sz w:val="32"/>
          <w:szCs w:val="32"/>
          <w:shd w:val="clear" w:color="auto" w:fill="FFFFFF"/>
          <w:lang w:bidi="ar"/>
        </w:rPr>
      </w:pPr>
      <w:bookmarkStart w:id="331" w:name="_Toc10798"/>
      <w:r>
        <w:rPr>
          <w:rFonts w:ascii="Times New Roman" w:hAnsi="Times New Roman" w:eastAsia="仿宋_GB2312"/>
          <w:b w:val="0"/>
          <w:color w:val="000000"/>
          <w:kern w:val="0"/>
          <w:sz w:val="32"/>
          <w:szCs w:val="32"/>
          <w:shd w:val="clear" w:color="auto" w:fill="FFFFFF"/>
          <w:lang w:bidi="ar"/>
        </w:rPr>
        <w:t>加强物流数字基础设施建设，支持物流园区和大型仓储设施等应用物联网技术，鼓励货运车辆加装智能设备，大力发展“互联网+车货匹配”“互联网+合同物流”“互联网+货运经纪”“互联网+库存管理”等的建设项目，以及促进物流基础设施线上线下融合，提高物流基础设施设备机械化、自动化、标准化水平，有效整合各类生产要素，突破物流产业链发展瓶颈的建设项目。</w:t>
      </w:r>
      <w:bookmarkEnd w:id="331"/>
    </w:p>
    <w:p>
      <w:pPr>
        <w:pStyle w:val="23"/>
        <w:spacing w:line="580" w:lineRule="exact"/>
        <w:jc w:val="left"/>
        <w:outlineLvl w:val="2"/>
        <w:rPr>
          <w:rFonts w:ascii="Times New Roman" w:hAnsi="Times New Roman" w:eastAsia="仿宋_GB2312"/>
          <w:color w:val="000000"/>
          <w:kern w:val="0"/>
          <w:sz w:val="32"/>
          <w:szCs w:val="32"/>
        </w:rPr>
      </w:pPr>
      <w:bookmarkStart w:id="332" w:name="_Toc15484"/>
      <w:r>
        <w:rPr>
          <w:rFonts w:ascii="Times New Roman" w:hAnsi="Times New Roman" w:eastAsia="仿宋_GB2312"/>
          <w:color w:val="000000"/>
          <w:kern w:val="0"/>
          <w:sz w:val="32"/>
          <w:szCs w:val="32"/>
        </w:rPr>
        <w:t xml:space="preserve"> </w:t>
      </w:r>
      <w:r>
        <w:rPr>
          <w:rFonts w:ascii="Times New Roman" w:hAnsi="Times New Roman" w:eastAsia="楷体"/>
          <w:b w:val="0"/>
          <w:color w:val="000000"/>
          <w:kern w:val="0"/>
          <w:sz w:val="32"/>
          <w:szCs w:val="32"/>
        </w:rPr>
        <w:t xml:space="preserve">   </w:t>
      </w:r>
      <w:bookmarkStart w:id="333" w:name="_Toc23505"/>
      <w:r>
        <w:rPr>
          <w:rFonts w:ascii="Times New Roman" w:hAnsi="Times New Roman" w:eastAsia="楷体"/>
          <w:b w:val="0"/>
          <w:color w:val="000000"/>
          <w:kern w:val="0"/>
          <w:sz w:val="32"/>
          <w:szCs w:val="32"/>
        </w:rPr>
        <w:t>（二）物流业与制造业融合发展工程</w:t>
      </w:r>
      <w:bookmarkEnd w:id="332"/>
      <w:bookmarkEnd w:id="333"/>
    </w:p>
    <w:p>
      <w:pPr>
        <w:pStyle w:val="23"/>
        <w:spacing w:line="580" w:lineRule="exact"/>
        <w:ind w:firstLine="640" w:firstLineChars="200"/>
        <w:jc w:val="left"/>
        <w:rPr>
          <w:rFonts w:ascii="Times New Roman" w:hAnsi="Times New Roman" w:eastAsia="仿宋_GB2312"/>
          <w:b w:val="0"/>
          <w:color w:val="000000"/>
          <w:kern w:val="0"/>
          <w:sz w:val="32"/>
          <w:szCs w:val="32"/>
          <w:shd w:val="clear" w:color="auto" w:fill="FFFFFF"/>
          <w:lang w:bidi="ar"/>
        </w:rPr>
      </w:pPr>
      <w:r>
        <w:rPr>
          <w:rFonts w:ascii="Times New Roman" w:hAnsi="Times New Roman" w:eastAsia="仿宋_GB2312"/>
          <w:b w:val="0"/>
          <w:color w:val="000000"/>
          <w:kern w:val="0"/>
          <w:sz w:val="32"/>
          <w:szCs w:val="32"/>
          <w:shd w:val="clear" w:color="auto" w:fill="FFFFFF"/>
          <w:lang w:bidi="ar"/>
        </w:rPr>
        <w:t>支持物流企业深入制造企业的物流及供应链管理，紧密围绕制造企业物流需求，主动融入产业物流供应链，重塑业务流程，为生产企业提供采购物流、入场物流、线边物流、交付物流等精细物流服务的项目。</w:t>
      </w:r>
    </w:p>
    <w:p>
      <w:pPr>
        <w:pStyle w:val="23"/>
        <w:spacing w:line="580" w:lineRule="exact"/>
        <w:jc w:val="left"/>
        <w:outlineLvl w:val="2"/>
        <w:rPr>
          <w:rFonts w:ascii="Times New Roman" w:hAnsi="Times New Roman" w:eastAsia="仿宋_GB2312"/>
          <w:color w:val="000000"/>
          <w:kern w:val="0"/>
          <w:sz w:val="32"/>
          <w:szCs w:val="32"/>
        </w:rPr>
      </w:pPr>
      <w:bookmarkStart w:id="334" w:name="_Toc10468"/>
      <w:r>
        <w:rPr>
          <w:rFonts w:ascii="Times New Roman" w:hAnsi="Times New Roman" w:eastAsia="仿宋_GB2312"/>
          <w:color w:val="000000"/>
          <w:kern w:val="0"/>
          <w:sz w:val="32"/>
          <w:szCs w:val="32"/>
        </w:rPr>
        <w:t xml:space="preserve">   </w:t>
      </w:r>
      <w:r>
        <w:rPr>
          <w:rFonts w:ascii="Times New Roman" w:hAnsi="Times New Roman" w:eastAsia="楷体"/>
          <w:b w:val="0"/>
          <w:color w:val="000000"/>
          <w:kern w:val="0"/>
          <w:sz w:val="32"/>
          <w:szCs w:val="32"/>
        </w:rPr>
        <w:t xml:space="preserve"> </w:t>
      </w:r>
      <w:bookmarkStart w:id="335" w:name="_Toc20743"/>
      <w:r>
        <w:rPr>
          <w:rFonts w:ascii="Times New Roman" w:hAnsi="Times New Roman" w:eastAsia="楷体"/>
          <w:b w:val="0"/>
          <w:color w:val="000000"/>
          <w:kern w:val="0"/>
          <w:sz w:val="32"/>
          <w:szCs w:val="32"/>
        </w:rPr>
        <w:t>（三）物流供应链一体化示范工程</w:t>
      </w:r>
      <w:bookmarkEnd w:id="334"/>
      <w:bookmarkEnd w:id="335"/>
    </w:p>
    <w:p>
      <w:pPr>
        <w:pStyle w:val="23"/>
        <w:spacing w:line="580" w:lineRule="exact"/>
        <w:jc w:val="left"/>
        <w:rPr>
          <w:rFonts w:ascii="Times New Roman" w:hAnsi="Times New Roman" w:eastAsia="仿宋_GB2312"/>
          <w:b w:val="0"/>
          <w:color w:val="000000"/>
          <w:kern w:val="0"/>
          <w:sz w:val="32"/>
          <w:szCs w:val="32"/>
          <w:shd w:val="clear" w:color="auto" w:fill="FFFFFF"/>
          <w:lang w:bidi="ar"/>
        </w:rPr>
      </w:pPr>
      <w:r>
        <w:rPr>
          <w:rFonts w:ascii="Times New Roman" w:hAnsi="Times New Roman" w:eastAsia="仿宋_GB2312"/>
          <w:b w:val="0"/>
          <w:color w:val="000000"/>
          <w:kern w:val="0"/>
          <w:sz w:val="32"/>
          <w:szCs w:val="32"/>
          <w:shd w:val="clear" w:color="auto" w:fill="FFFFFF"/>
          <w:lang w:bidi="ar"/>
        </w:rPr>
        <w:t xml:space="preserve">    通过整合物流资源，推动物流枢纽、物流园区与制造业集聚区、产业集群协调发展，形成产、购、销、运、储一体化产业生态圈，为产业对接提供配套服务的建设项目。</w:t>
      </w:r>
    </w:p>
    <w:p>
      <w:pPr>
        <w:pStyle w:val="23"/>
        <w:spacing w:line="580" w:lineRule="exact"/>
        <w:jc w:val="left"/>
        <w:outlineLvl w:val="2"/>
        <w:rPr>
          <w:rFonts w:ascii="Times New Roman" w:hAnsi="Times New Roman" w:eastAsia="仿宋_GB2312"/>
          <w:color w:val="000000"/>
          <w:kern w:val="0"/>
          <w:sz w:val="32"/>
          <w:szCs w:val="32"/>
        </w:rPr>
      </w:pPr>
      <w:bookmarkStart w:id="336" w:name="_Toc8804"/>
      <w:r>
        <w:rPr>
          <w:rFonts w:ascii="Times New Roman" w:hAnsi="Times New Roman" w:eastAsia="仿宋_GB2312"/>
          <w:color w:val="000000"/>
          <w:kern w:val="0"/>
          <w:sz w:val="32"/>
          <w:szCs w:val="32"/>
        </w:rPr>
        <w:t xml:space="preserve">  </w:t>
      </w:r>
      <w:r>
        <w:rPr>
          <w:rFonts w:ascii="Times New Roman" w:hAnsi="Times New Roman" w:eastAsia="楷体"/>
          <w:b w:val="0"/>
          <w:color w:val="000000"/>
          <w:kern w:val="0"/>
          <w:sz w:val="32"/>
          <w:szCs w:val="32"/>
        </w:rPr>
        <w:t xml:space="preserve">  </w:t>
      </w:r>
      <w:bookmarkStart w:id="337" w:name="_Toc7440"/>
      <w:r>
        <w:rPr>
          <w:rFonts w:ascii="Times New Roman" w:hAnsi="Times New Roman" w:eastAsia="楷体"/>
          <w:b w:val="0"/>
          <w:color w:val="000000"/>
          <w:kern w:val="0"/>
          <w:sz w:val="32"/>
          <w:szCs w:val="32"/>
        </w:rPr>
        <w:t>（四）城市配送模式创新工程</w:t>
      </w:r>
      <w:bookmarkEnd w:id="336"/>
      <w:bookmarkEnd w:id="337"/>
    </w:p>
    <w:p>
      <w:pPr>
        <w:pStyle w:val="23"/>
        <w:spacing w:line="580" w:lineRule="exact"/>
        <w:ind w:firstLine="640" w:firstLineChars="200"/>
        <w:jc w:val="left"/>
        <w:rPr>
          <w:rFonts w:ascii="Times New Roman" w:hAnsi="Times New Roman" w:eastAsia="仿宋_GB2312"/>
          <w:b w:val="0"/>
          <w:color w:val="000000"/>
          <w:kern w:val="0"/>
          <w:sz w:val="32"/>
          <w:szCs w:val="32"/>
          <w:shd w:val="clear" w:color="auto" w:fill="FFFFFF"/>
          <w:lang w:bidi="ar"/>
        </w:rPr>
      </w:pPr>
      <w:r>
        <w:rPr>
          <w:rFonts w:ascii="Times New Roman" w:hAnsi="Times New Roman" w:eastAsia="仿宋_GB2312"/>
          <w:b w:val="0"/>
          <w:color w:val="000000"/>
          <w:kern w:val="0"/>
          <w:sz w:val="32"/>
          <w:szCs w:val="32"/>
          <w:shd w:val="clear" w:color="auto" w:fill="FFFFFF"/>
          <w:lang w:bidi="ar"/>
        </w:rPr>
        <w:t>第三方物流企业融合供应商、实体零售门店、网络零售的配送需求，发展面向连锁超市、百货店等各类终端的统仓统配模式，通过信息化、标准化、集约化手段，实施统仓统配建设项目。依托商贸物流骨干企业，提高大型商圈和商业连锁企业集中配送比例，建立与新型城市生活消费方式相匹配的末端配送等项目。</w:t>
      </w:r>
    </w:p>
    <w:p>
      <w:pPr>
        <w:pStyle w:val="2"/>
        <w:widowControl w:val="0"/>
        <w:spacing w:before="0" w:after="0" w:line="580" w:lineRule="exact"/>
        <w:ind w:left="0" w:leftChars="0" w:firstLine="640"/>
        <w:jc w:val="both"/>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以上项目如符合当年度服务业发展引导资金项目征集通知相关要求，可申报自治区服务业引导资金支持（不含企业以各种形式参与政府投资的项目）。支持方式为直接补助和后补助，直接补助主要支持符合申报条件的企业投资正在建设的项目，后补助主要支持符合申报条件的投资进度已完成三分之二或达到试运行条件的企业投资建设项目。</w:t>
      </w:r>
    </w:p>
    <w:p>
      <w:pPr>
        <w:pStyle w:val="2"/>
        <w:widowControl w:val="0"/>
        <w:spacing w:before="0" w:after="0" w:line="580" w:lineRule="exact"/>
        <w:ind w:left="0" w:leftChars="0" w:firstLine="640"/>
        <w:jc w:val="both"/>
        <w:rPr>
          <w:rFonts w:ascii="Times New Roman" w:hAnsi="Times New Roman" w:eastAsia="仿宋_GB2312"/>
          <w:kern w:val="0"/>
          <w:sz w:val="32"/>
          <w:szCs w:val="32"/>
          <w:shd w:val="clear" w:color="auto" w:fill="FFFFFF"/>
          <w:lang w:val="en-US" w:eastAsia="zh-CN" w:bidi="ar"/>
        </w:rPr>
      </w:pPr>
      <w:r>
        <w:rPr>
          <w:rFonts w:ascii="Times New Roman" w:hAnsi="Times New Roman" w:eastAsia="仿宋_GB2312"/>
          <w:sz w:val="32"/>
          <w:szCs w:val="32"/>
          <w:lang w:val="en-US" w:eastAsia="zh-CN"/>
        </w:rPr>
        <w:t>申报条件为：一是申报企业在我区依法注册原则上满两年，具有独立法人资格，企业管理规范，依法纳税，经营状况和信用良好，近三年未有违法违规违纪等情况。二是申报的建设项目要符合国家产业政策，项目总投资规模原则上不低于1000万元，且项目建设资金已基本落实，自由资金比例不低于总投资的1/3。三是申报的建设项目按照固定资产投资有关规定，办理规划、土地、备案（核准）、环评、建设等各项前期手续（视项目实际情况提供资料）。四是申报企业按照要求客观实际编制项目资金申请报告和提供相关资料。</w:t>
      </w:r>
    </w:p>
    <w:p>
      <w:pPr>
        <w:spacing w:line="580" w:lineRule="exact"/>
        <w:ind w:firstLine="640" w:firstLineChars="200"/>
        <w:outlineLvl w:val="2"/>
        <w:rPr>
          <w:rFonts w:eastAsia="楷体"/>
          <w:color w:val="000000"/>
          <w:kern w:val="0"/>
          <w:szCs w:val="32"/>
        </w:rPr>
      </w:pPr>
      <w:bookmarkStart w:id="338" w:name="_Toc26084"/>
      <w:bookmarkStart w:id="339" w:name="_Toc16300"/>
      <w:r>
        <w:rPr>
          <w:rFonts w:eastAsia="楷体"/>
          <w:color w:val="000000"/>
          <w:kern w:val="0"/>
          <w:szCs w:val="32"/>
        </w:rPr>
        <w:t>（五）完善农村配送体系建设工程</w:t>
      </w:r>
      <w:bookmarkEnd w:id="338"/>
      <w:bookmarkEnd w:id="339"/>
    </w:p>
    <w:p>
      <w:pPr>
        <w:pStyle w:val="23"/>
        <w:spacing w:line="580" w:lineRule="exact"/>
        <w:ind w:firstLine="640" w:firstLineChars="200"/>
        <w:jc w:val="left"/>
        <w:rPr>
          <w:rFonts w:ascii="Times New Roman" w:hAnsi="Times New Roman" w:eastAsia="仿宋_GB2312"/>
          <w:b w:val="0"/>
          <w:color w:val="000000"/>
          <w:kern w:val="0"/>
          <w:sz w:val="32"/>
          <w:szCs w:val="32"/>
          <w:shd w:val="clear" w:color="auto" w:fill="FFFFFF"/>
          <w:lang w:bidi="ar"/>
        </w:rPr>
      </w:pPr>
      <w:r>
        <w:rPr>
          <w:rFonts w:ascii="Times New Roman" w:hAnsi="Times New Roman" w:eastAsia="仿宋_GB2312"/>
          <w:b w:val="0"/>
          <w:color w:val="000000"/>
          <w:kern w:val="0"/>
          <w:sz w:val="32"/>
          <w:szCs w:val="32"/>
          <w:shd w:val="clear" w:color="auto" w:fill="FFFFFF"/>
          <w:lang w:bidi="ar"/>
        </w:rPr>
        <w:t>按照“县级中转、乡镇级分拨、村级配送”的原则，完善县-乡-村三级物流服务网络的建设项目。</w:t>
      </w:r>
    </w:p>
    <w:p>
      <w:pPr>
        <w:pStyle w:val="2"/>
        <w:widowControl w:val="0"/>
        <w:spacing w:before="0" w:after="0" w:line="580" w:lineRule="exact"/>
        <w:ind w:left="0" w:leftChars="0" w:firstLine="640" w:firstLineChars="0"/>
        <w:outlineLvl w:val="1"/>
        <w:rPr>
          <w:rFonts w:ascii="Times New Roman" w:hAnsi="Times New Roman" w:eastAsia="黑体"/>
          <w:sz w:val="32"/>
          <w:szCs w:val="32"/>
          <w:lang w:val="en-US" w:eastAsia="zh-CN"/>
        </w:rPr>
      </w:pPr>
      <w:bookmarkStart w:id="340" w:name="_Toc13518"/>
      <w:r>
        <w:rPr>
          <w:rFonts w:ascii="Times New Roman" w:hAnsi="Times New Roman" w:eastAsia="黑体"/>
          <w:sz w:val="32"/>
          <w:szCs w:val="32"/>
          <w:lang w:val="en-US" w:eastAsia="zh-CN"/>
        </w:rPr>
        <w:t>六、文化创意产业</w:t>
      </w:r>
      <w:bookmarkEnd w:id="340"/>
    </w:p>
    <w:p>
      <w:pPr>
        <w:spacing w:line="580" w:lineRule="exact"/>
        <w:ind w:firstLine="640"/>
        <w:outlineLvl w:val="2"/>
        <w:rPr>
          <w:rFonts w:eastAsia="楷体"/>
          <w:b/>
          <w:color w:val="000000"/>
          <w:kern w:val="0"/>
          <w:szCs w:val="32"/>
        </w:rPr>
      </w:pPr>
      <w:bookmarkStart w:id="341" w:name="_Toc16315"/>
      <w:bookmarkStart w:id="342" w:name="_Toc20595"/>
      <w:r>
        <w:rPr>
          <w:rFonts w:eastAsia="楷体"/>
          <w:color w:val="000000"/>
          <w:kern w:val="0"/>
          <w:szCs w:val="32"/>
          <w:shd w:val="clear" w:color="auto" w:fill="FFFFFF"/>
          <w:lang w:bidi="ar"/>
        </w:rPr>
        <w:t>（一）工业设计</w:t>
      </w:r>
      <w:bookmarkEnd w:id="341"/>
      <w:bookmarkEnd w:id="342"/>
    </w:p>
    <w:p>
      <w:pPr>
        <w:spacing w:line="580" w:lineRule="exact"/>
        <w:ind w:firstLine="640" w:firstLineChars="200"/>
        <w:rPr>
          <w:rStyle w:val="17"/>
          <w:rFonts w:eastAsia="仿宋_GB2312"/>
          <w:color w:val="000000"/>
          <w:spacing w:val="-6"/>
          <w:kern w:val="0"/>
          <w:szCs w:val="32"/>
          <w:shd w:val="clear" w:color="auto" w:fill="FFFFFF"/>
          <w:lang w:bidi="ar"/>
        </w:rPr>
      </w:pPr>
      <w:bookmarkStart w:id="343" w:name="_Toc24676"/>
      <w:r>
        <w:rPr>
          <w:color w:val="000000"/>
          <w:kern w:val="0"/>
          <w:szCs w:val="32"/>
          <w:shd w:val="clear" w:color="auto" w:fill="FFFFFF"/>
          <w:lang w:bidi="ar"/>
        </w:rPr>
        <w:t>积</w:t>
      </w:r>
      <w:r>
        <w:rPr>
          <w:color w:val="000000"/>
          <w:spacing w:val="-6"/>
          <w:kern w:val="0"/>
          <w:szCs w:val="32"/>
          <w:shd w:val="clear" w:color="auto" w:fill="FFFFFF"/>
          <w:lang w:bidi="ar"/>
        </w:rPr>
        <w:t>极推进自动编程技术、模拟动画技术、3D技术等在工业设计、产品设计、影视作品等文化产品生产中广泛应用的建设项目。</w:t>
      </w:r>
      <w:bookmarkEnd w:id="343"/>
    </w:p>
    <w:p>
      <w:pPr>
        <w:spacing w:line="580" w:lineRule="exact"/>
        <w:ind w:firstLine="640"/>
        <w:outlineLvl w:val="2"/>
        <w:rPr>
          <w:rFonts w:eastAsia="楷体"/>
          <w:color w:val="000000"/>
          <w:kern w:val="0"/>
          <w:szCs w:val="32"/>
          <w:shd w:val="clear" w:color="auto" w:fill="FFFFFF"/>
          <w:lang w:bidi="ar"/>
        </w:rPr>
      </w:pPr>
      <w:bookmarkStart w:id="344" w:name="_Toc21918"/>
      <w:r>
        <w:rPr>
          <w:rFonts w:eastAsia="楷体"/>
          <w:color w:val="000000"/>
          <w:kern w:val="0"/>
          <w:szCs w:val="32"/>
          <w:shd w:val="clear" w:color="auto" w:fill="FFFFFF"/>
          <w:lang w:bidi="ar"/>
        </w:rPr>
        <w:t>（二）创意设计</w:t>
      </w:r>
      <w:bookmarkEnd w:id="344"/>
    </w:p>
    <w:p>
      <w:pPr>
        <w:spacing w:line="580" w:lineRule="exact"/>
        <w:rPr>
          <w:color w:val="000000"/>
          <w:kern w:val="0"/>
          <w:szCs w:val="32"/>
          <w:shd w:val="clear" w:color="auto" w:fill="FFFFFF"/>
          <w:lang w:bidi="ar"/>
        </w:rPr>
      </w:pPr>
      <w:r>
        <w:rPr>
          <w:color w:val="000000"/>
          <w:kern w:val="0"/>
          <w:szCs w:val="32"/>
          <w:shd w:val="clear" w:color="auto" w:fill="FFFFFF"/>
          <w:lang w:bidi="ar"/>
        </w:rPr>
        <w:t xml:space="preserve">    以提升产业附加值为导向，着力推进文化软件服务、专业设计服务、广告服务等创意设计与装备制造业、建筑业、信息业、旅游业、农业等重点领域融合发展的建设项目。</w:t>
      </w:r>
    </w:p>
    <w:p>
      <w:pPr>
        <w:spacing w:line="580" w:lineRule="exact"/>
        <w:ind w:firstLine="640"/>
        <w:outlineLvl w:val="2"/>
        <w:rPr>
          <w:rFonts w:eastAsia="楷体"/>
          <w:color w:val="000000"/>
          <w:kern w:val="0"/>
          <w:szCs w:val="32"/>
          <w:shd w:val="clear" w:color="auto" w:fill="FFFFFF"/>
          <w:lang w:bidi="ar"/>
        </w:rPr>
      </w:pPr>
      <w:bookmarkStart w:id="345" w:name="_Toc10674"/>
      <w:bookmarkStart w:id="346" w:name="_Toc19431"/>
      <w:r>
        <w:rPr>
          <w:rFonts w:eastAsia="楷体"/>
          <w:color w:val="000000"/>
          <w:kern w:val="0"/>
          <w:szCs w:val="32"/>
          <w:shd w:val="clear" w:color="auto" w:fill="FFFFFF"/>
          <w:lang w:bidi="ar"/>
        </w:rPr>
        <w:t>（三）文化创意产业培育工程</w:t>
      </w:r>
      <w:bookmarkEnd w:id="345"/>
      <w:bookmarkEnd w:id="346"/>
    </w:p>
    <w:p>
      <w:pPr>
        <w:spacing w:line="580" w:lineRule="exact"/>
        <w:ind w:firstLine="640" w:firstLineChars="200"/>
        <w:rPr>
          <w:color w:val="000000"/>
          <w:kern w:val="0"/>
          <w:szCs w:val="32"/>
          <w:shd w:val="clear" w:color="auto" w:fill="FFFFFF"/>
          <w:lang w:bidi="ar"/>
        </w:rPr>
      </w:pPr>
      <w:r>
        <w:rPr>
          <w:color w:val="000000"/>
          <w:kern w:val="0"/>
          <w:szCs w:val="32"/>
          <w:shd w:val="clear" w:color="auto" w:fill="FFFFFF"/>
          <w:lang w:bidi="ar"/>
        </w:rPr>
        <w:t>培育壮大多元文化市场主体，丰富文旅产品供给，依托宁夏文化旅游创意产业园、华夏河图等文化创意产业园区和文化产业孵化器，推动以文化科技融合、数字创意为主的文化创新产品发展，挖掘开发文旅体验产品，丰富旅游景区文化演艺、艺术展演、会展演艺等项目，重点建设的文化产业园、文旅特色乡镇街区和工业旅游园区项目。</w:t>
      </w:r>
    </w:p>
    <w:p>
      <w:pPr>
        <w:pStyle w:val="2"/>
        <w:widowControl w:val="0"/>
        <w:spacing w:before="0" w:after="0" w:line="580" w:lineRule="exact"/>
        <w:ind w:left="0" w:leftChars="0" w:firstLine="640"/>
        <w:jc w:val="both"/>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以上项目如符合当年度服务业发展引导资金项目征集通知相关要求，可申报自治区服务业引导资金支持（不含企业以各种形式参与政府投资的项目）。支持方式为直接补助和后补助，直接补助主要支持符合申报条件的企业投资正在建设的项目，后补助主要支持符合申报条件的投资进度已完成三分之二或达到试运行条件的企业投资建设项目。</w:t>
      </w:r>
    </w:p>
    <w:p>
      <w:pPr>
        <w:pStyle w:val="2"/>
        <w:widowControl w:val="0"/>
        <w:spacing w:before="0" w:after="0" w:line="580" w:lineRule="exact"/>
        <w:ind w:left="0" w:leftChars="0" w:firstLine="640"/>
        <w:jc w:val="both"/>
        <w:rPr>
          <w:rFonts w:ascii="Times New Roman" w:hAnsi="Times New Roman" w:eastAsia="仿宋_GB2312"/>
          <w:kern w:val="0"/>
          <w:sz w:val="32"/>
          <w:szCs w:val="32"/>
          <w:shd w:val="clear" w:color="auto" w:fill="FFFFFF"/>
          <w:lang w:val="en-US" w:eastAsia="zh-CN" w:bidi="ar"/>
        </w:rPr>
      </w:pPr>
      <w:r>
        <w:rPr>
          <w:rFonts w:ascii="Times New Roman" w:hAnsi="Times New Roman" w:eastAsia="仿宋_GB2312"/>
          <w:sz w:val="32"/>
          <w:szCs w:val="32"/>
          <w:lang w:val="en-US" w:eastAsia="zh-CN"/>
        </w:rPr>
        <w:t>申报条件为：一是申报企业在我区依法注册原则上满两年，具有独立法人资格，企业管理规范，依法纳税，经营状况和信用良好，近三年未有违法违规违纪等情况。二是申报的建设项目要符合国家产业政策，项目总投资规模原则上不低于1000万元，且项目建设资金已基本落实，自由资金比例不低于总投资的1/3。三是申报的建设项目按照固定资产投资有关规定，办理规划、土地、备案（核准）、环评、建设等各项前期手续（视项目实际情况提供资料）。四是申报企业按照要求客观实际编制项目资金申请报告和提供相关资料。</w:t>
      </w:r>
    </w:p>
    <w:p>
      <w:pPr>
        <w:spacing w:line="580" w:lineRule="exact"/>
        <w:ind w:firstLine="640"/>
        <w:outlineLvl w:val="1"/>
        <w:rPr>
          <w:rStyle w:val="17"/>
          <w:rFonts w:eastAsia="黑体"/>
          <w:b w:val="0"/>
          <w:bCs/>
          <w:color w:val="000000"/>
          <w:kern w:val="0"/>
          <w:szCs w:val="32"/>
          <w:shd w:val="clear" w:color="auto" w:fill="FFFFFF"/>
          <w:lang w:bidi="ar"/>
        </w:rPr>
      </w:pPr>
      <w:bookmarkStart w:id="347" w:name="_Toc28332"/>
      <w:bookmarkStart w:id="348" w:name="_Toc5261"/>
      <w:r>
        <w:rPr>
          <w:rStyle w:val="17"/>
          <w:rFonts w:eastAsia="黑体"/>
          <w:b w:val="0"/>
          <w:bCs/>
          <w:color w:val="000000"/>
          <w:kern w:val="0"/>
          <w:szCs w:val="32"/>
          <w:shd w:val="clear" w:color="auto" w:fill="FFFFFF"/>
          <w:lang w:bidi="ar"/>
        </w:rPr>
        <w:t>七、旅游产业</w:t>
      </w:r>
      <w:bookmarkEnd w:id="347"/>
    </w:p>
    <w:p>
      <w:pPr>
        <w:spacing w:line="580" w:lineRule="exact"/>
        <w:ind w:firstLine="640"/>
        <w:outlineLvl w:val="2"/>
        <w:rPr>
          <w:rStyle w:val="17"/>
          <w:rFonts w:eastAsia="楷体"/>
          <w:b w:val="0"/>
          <w:bCs/>
          <w:color w:val="000000"/>
          <w:kern w:val="0"/>
          <w:szCs w:val="32"/>
          <w:shd w:val="clear" w:color="auto" w:fill="FFFFFF"/>
          <w:lang w:bidi="ar"/>
        </w:rPr>
      </w:pPr>
      <w:bookmarkStart w:id="349" w:name="_Toc5323"/>
      <w:r>
        <w:rPr>
          <w:rStyle w:val="17"/>
          <w:rFonts w:eastAsia="楷体"/>
          <w:b w:val="0"/>
          <w:bCs/>
          <w:color w:val="000000"/>
          <w:kern w:val="0"/>
          <w:szCs w:val="32"/>
          <w:shd w:val="clear" w:color="auto" w:fill="FFFFFF"/>
          <w:lang w:bidi="ar"/>
        </w:rPr>
        <w:t>（一）银川都市圈全域旅游核心区培育工程</w:t>
      </w:r>
      <w:bookmarkEnd w:id="348"/>
      <w:bookmarkEnd w:id="349"/>
    </w:p>
    <w:p>
      <w:pPr>
        <w:spacing w:line="580" w:lineRule="exact"/>
        <w:ind w:firstLine="640" w:firstLineChars="200"/>
        <w:rPr>
          <w:color w:val="000000"/>
          <w:kern w:val="0"/>
          <w:szCs w:val="32"/>
          <w:shd w:val="clear" w:color="auto" w:fill="FFFFFF"/>
          <w:lang w:bidi="ar"/>
        </w:rPr>
      </w:pPr>
      <w:r>
        <w:rPr>
          <w:color w:val="000000"/>
          <w:kern w:val="0"/>
          <w:szCs w:val="32"/>
          <w:shd w:val="clear" w:color="auto" w:fill="FFFFFF"/>
          <w:lang w:bidi="ar"/>
        </w:rPr>
        <w:t>强化银川都市圈旅游服务功能，完善旅游交通枢纽功能，以贺兰山东麓自然人文、葡萄酒产业、中部绿洲湿地、黄河金岸文化生态等资源整合为重点，发展休闲度假、生态旅游、葡萄酒庄旅游、民俗风情、乡村旅游等业态的建设项目。</w:t>
      </w:r>
    </w:p>
    <w:p>
      <w:pPr>
        <w:numPr>
          <w:ilvl w:val="0"/>
          <w:numId w:val="3"/>
        </w:numPr>
        <w:spacing w:line="580" w:lineRule="exact"/>
        <w:ind w:firstLine="561"/>
        <w:outlineLvl w:val="2"/>
        <w:rPr>
          <w:rStyle w:val="17"/>
          <w:rFonts w:eastAsia="楷体"/>
          <w:b w:val="0"/>
          <w:bCs/>
          <w:color w:val="000000"/>
          <w:kern w:val="0"/>
          <w:szCs w:val="32"/>
          <w:shd w:val="clear" w:color="auto" w:fill="FFFFFF"/>
          <w:lang w:bidi="ar"/>
        </w:rPr>
      </w:pPr>
      <w:bookmarkStart w:id="350" w:name="_Toc22841"/>
      <w:bookmarkStart w:id="351" w:name="_Toc16763"/>
      <w:r>
        <w:rPr>
          <w:rStyle w:val="17"/>
          <w:rFonts w:eastAsia="楷体"/>
          <w:b w:val="0"/>
          <w:bCs/>
          <w:color w:val="000000"/>
          <w:kern w:val="0"/>
          <w:szCs w:val="32"/>
          <w:shd w:val="clear" w:color="auto" w:fill="FFFFFF"/>
          <w:lang w:bidi="ar"/>
        </w:rPr>
        <w:t>沿黄生态旅游带建设工程</w:t>
      </w:r>
      <w:bookmarkEnd w:id="350"/>
      <w:bookmarkEnd w:id="351"/>
    </w:p>
    <w:p>
      <w:pPr>
        <w:spacing w:line="580" w:lineRule="exact"/>
        <w:ind w:firstLine="640" w:firstLineChars="200"/>
        <w:rPr>
          <w:color w:val="000000"/>
          <w:kern w:val="0"/>
          <w:szCs w:val="32"/>
          <w:shd w:val="clear" w:color="auto" w:fill="FFFFFF"/>
          <w:lang w:bidi="ar"/>
        </w:rPr>
      </w:pPr>
      <w:r>
        <w:rPr>
          <w:color w:val="000000"/>
          <w:kern w:val="0"/>
          <w:szCs w:val="32"/>
          <w:shd w:val="clear" w:color="auto" w:fill="FFFFFF"/>
          <w:lang w:bidi="ar"/>
        </w:rPr>
        <w:t>以沿黄区域的重要景区为节点，以点带线、带面，构建银川、中卫南北端两大旅游增长极，打造沿黄旅游带的建设项目。</w:t>
      </w:r>
    </w:p>
    <w:p>
      <w:pPr>
        <w:numPr>
          <w:ilvl w:val="0"/>
          <w:numId w:val="3"/>
        </w:numPr>
        <w:spacing w:line="580" w:lineRule="exact"/>
        <w:ind w:firstLine="561"/>
        <w:outlineLvl w:val="2"/>
        <w:rPr>
          <w:rStyle w:val="17"/>
          <w:rFonts w:eastAsia="楷体"/>
          <w:b w:val="0"/>
          <w:bCs/>
          <w:color w:val="000000"/>
          <w:kern w:val="0"/>
          <w:szCs w:val="32"/>
          <w:shd w:val="clear" w:color="auto" w:fill="FFFFFF"/>
          <w:lang w:bidi="ar"/>
        </w:rPr>
      </w:pPr>
      <w:bookmarkStart w:id="352" w:name="_Toc27835"/>
      <w:bookmarkStart w:id="353" w:name="_Toc26050"/>
      <w:r>
        <w:rPr>
          <w:rStyle w:val="17"/>
          <w:rFonts w:eastAsia="楷体"/>
          <w:b w:val="0"/>
          <w:bCs/>
          <w:color w:val="000000"/>
          <w:kern w:val="0"/>
          <w:szCs w:val="32"/>
          <w:shd w:val="clear" w:color="auto" w:fill="FFFFFF"/>
          <w:lang w:bidi="ar"/>
        </w:rPr>
        <w:t>贺兰山东麓生态文化旅游带建设工程</w:t>
      </w:r>
      <w:bookmarkEnd w:id="352"/>
      <w:bookmarkEnd w:id="353"/>
    </w:p>
    <w:p>
      <w:pPr>
        <w:spacing w:line="580" w:lineRule="exact"/>
        <w:ind w:firstLine="640" w:firstLineChars="200"/>
        <w:rPr>
          <w:color w:val="000000"/>
          <w:kern w:val="0"/>
          <w:szCs w:val="32"/>
          <w:shd w:val="clear" w:color="auto" w:fill="FFFFFF"/>
          <w:lang w:bidi="ar"/>
        </w:rPr>
      </w:pPr>
      <w:r>
        <w:rPr>
          <w:color w:val="000000"/>
          <w:kern w:val="0"/>
          <w:szCs w:val="32"/>
          <w:shd w:val="clear" w:color="auto" w:fill="FFFFFF"/>
          <w:lang w:bidi="ar"/>
        </w:rPr>
        <w:t>提升贺兰山东麓百里葡萄长廊品牌影响力，完善沿线自驾营地、骑行驿站、登山步道等旅游设施，打造集葡萄酒文化体验、文旅休闲、工业遗迹、矿山旅游等功能为一体的生态文化旅游带的建设项目。</w:t>
      </w:r>
    </w:p>
    <w:p>
      <w:pPr>
        <w:numPr>
          <w:ilvl w:val="0"/>
          <w:numId w:val="3"/>
        </w:numPr>
        <w:spacing w:line="580" w:lineRule="exact"/>
        <w:ind w:firstLine="561"/>
        <w:outlineLvl w:val="2"/>
        <w:rPr>
          <w:rStyle w:val="17"/>
          <w:rFonts w:eastAsia="楷体"/>
          <w:b w:val="0"/>
          <w:bCs/>
          <w:color w:val="000000"/>
          <w:kern w:val="0"/>
          <w:szCs w:val="32"/>
          <w:shd w:val="clear" w:color="auto" w:fill="FFFFFF"/>
          <w:lang w:bidi="ar"/>
        </w:rPr>
      </w:pPr>
      <w:bookmarkStart w:id="354" w:name="_Toc16589"/>
      <w:bookmarkStart w:id="355" w:name="_Toc30750"/>
      <w:r>
        <w:rPr>
          <w:rStyle w:val="17"/>
          <w:rFonts w:eastAsia="楷体"/>
          <w:b w:val="0"/>
          <w:bCs/>
          <w:color w:val="000000"/>
          <w:kern w:val="0"/>
          <w:szCs w:val="32"/>
          <w:shd w:val="clear" w:color="auto" w:fill="FFFFFF"/>
          <w:lang w:bidi="ar"/>
        </w:rPr>
        <w:t>特色“研学游”一体文化产业园培育工程</w:t>
      </w:r>
      <w:bookmarkEnd w:id="354"/>
      <w:bookmarkEnd w:id="355"/>
    </w:p>
    <w:p>
      <w:pPr>
        <w:spacing w:line="580" w:lineRule="exact"/>
        <w:ind w:firstLine="640" w:firstLineChars="200"/>
        <w:rPr>
          <w:color w:val="000000"/>
          <w:kern w:val="0"/>
          <w:szCs w:val="32"/>
          <w:shd w:val="clear" w:color="auto" w:fill="FFFFFF"/>
          <w:lang w:bidi="ar"/>
        </w:rPr>
      </w:pPr>
      <w:r>
        <w:rPr>
          <w:color w:val="000000"/>
          <w:kern w:val="0"/>
          <w:szCs w:val="32"/>
          <w:shd w:val="clear" w:color="auto" w:fill="FFFFFF"/>
          <w:lang w:bidi="ar"/>
        </w:rPr>
        <w:t>依托区内矿山资源、工业遗产以及特色工业企业，深度融合工业文化和旅游资源的建设项目。</w:t>
      </w:r>
    </w:p>
    <w:p>
      <w:pPr>
        <w:rPr>
          <w:color w:val="FF0000"/>
        </w:rPr>
      </w:pPr>
    </w:p>
    <w:p>
      <w:pPr>
        <w:pStyle w:val="2"/>
        <w:widowControl w:val="0"/>
        <w:spacing w:before="0" w:after="0" w:line="600" w:lineRule="exact"/>
        <w:ind w:left="0" w:leftChars="0" w:firstLine="0" w:firstLineChars="0"/>
        <w:jc w:val="center"/>
        <w:outlineLvl w:val="0"/>
        <w:rPr>
          <w:rFonts w:hint="eastAsia" w:ascii="Times New Roman" w:hAnsi="Times New Roman" w:eastAsia="方正小标宋_GBK"/>
          <w:sz w:val="44"/>
          <w:szCs w:val="44"/>
          <w:lang w:val="en-US" w:eastAsia="zh-CN"/>
        </w:rPr>
      </w:pPr>
    </w:p>
    <w:p>
      <w:pPr>
        <w:pStyle w:val="2"/>
        <w:widowControl w:val="0"/>
        <w:spacing w:before="0" w:after="0" w:line="600" w:lineRule="exact"/>
        <w:ind w:left="0" w:leftChars="0" w:firstLine="0" w:firstLineChars="0"/>
        <w:jc w:val="center"/>
        <w:outlineLvl w:val="0"/>
        <w:rPr>
          <w:rFonts w:hint="eastAsia" w:ascii="Times New Roman" w:hAnsi="Times New Roman" w:eastAsia="方正小标宋_GBK"/>
          <w:sz w:val="44"/>
          <w:szCs w:val="44"/>
          <w:lang w:val="en-US" w:eastAsia="zh-CN"/>
        </w:rPr>
      </w:pPr>
    </w:p>
    <w:p>
      <w:pPr>
        <w:pStyle w:val="2"/>
        <w:widowControl w:val="0"/>
        <w:spacing w:before="0" w:after="0" w:line="600" w:lineRule="exact"/>
        <w:ind w:left="0" w:leftChars="0" w:firstLine="0" w:firstLineChars="0"/>
        <w:jc w:val="center"/>
        <w:outlineLvl w:val="0"/>
        <w:rPr>
          <w:rFonts w:hint="eastAsia" w:ascii="Times New Roman" w:hAnsi="Times New Roman" w:eastAsia="方正小标宋_GBK"/>
          <w:sz w:val="44"/>
          <w:szCs w:val="44"/>
          <w:lang w:val="en-US" w:eastAsia="zh-CN"/>
        </w:rPr>
      </w:pPr>
    </w:p>
    <w:p>
      <w:pPr>
        <w:spacing w:line="600" w:lineRule="exact"/>
        <w:ind w:firstLine="640"/>
        <w:jc w:val="center"/>
        <w:outlineLvl w:val="0"/>
        <w:rPr>
          <w:rFonts w:hint="eastAsia" w:eastAsia="方正小标宋_GBK"/>
          <w:sz w:val="44"/>
          <w:szCs w:val="44"/>
        </w:rPr>
      </w:pPr>
      <w:bookmarkStart w:id="356" w:name="_Toc2258"/>
    </w:p>
    <w:p>
      <w:pPr>
        <w:pStyle w:val="2"/>
        <w:ind w:left="640" w:firstLine="440"/>
        <w:rPr>
          <w:rFonts w:hint="eastAsia"/>
          <w:lang w:val="en-US" w:eastAsia="zh-CN"/>
        </w:rPr>
      </w:pPr>
    </w:p>
    <w:p>
      <w:pPr>
        <w:pStyle w:val="2"/>
        <w:ind w:left="640" w:firstLine="440"/>
        <w:rPr>
          <w:rFonts w:hint="eastAsia"/>
          <w:lang w:val="en-US" w:eastAsia="zh-CN"/>
        </w:rPr>
      </w:pPr>
    </w:p>
    <w:p>
      <w:pPr>
        <w:pStyle w:val="2"/>
        <w:ind w:left="640" w:firstLine="440"/>
        <w:rPr>
          <w:rFonts w:hint="eastAsia"/>
          <w:lang w:val="en-US" w:eastAsia="zh-CN"/>
        </w:rPr>
      </w:pPr>
    </w:p>
    <w:p>
      <w:pPr>
        <w:pStyle w:val="2"/>
        <w:ind w:left="640" w:firstLine="440"/>
        <w:rPr>
          <w:rFonts w:hint="eastAsia"/>
          <w:lang w:val="en-US" w:eastAsia="zh-CN"/>
        </w:rPr>
      </w:pPr>
    </w:p>
    <w:p>
      <w:pPr>
        <w:pStyle w:val="2"/>
        <w:ind w:left="640" w:firstLine="440"/>
        <w:rPr>
          <w:rFonts w:hint="eastAsia"/>
          <w:lang w:val="en-US" w:eastAsia="zh-CN"/>
        </w:rPr>
      </w:pPr>
    </w:p>
    <w:p>
      <w:pPr>
        <w:pStyle w:val="2"/>
        <w:ind w:left="640" w:firstLine="440"/>
        <w:rPr>
          <w:rFonts w:hint="eastAsia"/>
          <w:lang w:val="en-US" w:eastAsia="zh-CN"/>
        </w:rPr>
      </w:pPr>
    </w:p>
    <w:p>
      <w:pPr>
        <w:pStyle w:val="2"/>
        <w:ind w:left="640" w:firstLine="440"/>
        <w:rPr>
          <w:rFonts w:hint="eastAsia"/>
          <w:lang w:val="en-US" w:eastAsia="zh-CN"/>
        </w:rPr>
      </w:pPr>
    </w:p>
    <w:p>
      <w:pPr>
        <w:pStyle w:val="2"/>
        <w:ind w:left="640" w:firstLine="440"/>
        <w:rPr>
          <w:rFonts w:hint="eastAsia"/>
          <w:lang w:val="en-US" w:eastAsia="zh-CN"/>
        </w:rPr>
      </w:pPr>
    </w:p>
    <w:p>
      <w:pPr>
        <w:pStyle w:val="2"/>
        <w:ind w:left="640" w:firstLine="440"/>
        <w:rPr>
          <w:rFonts w:hint="eastAsia"/>
          <w:lang w:val="en-US" w:eastAsia="zh-CN"/>
        </w:rPr>
      </w:pPr>
    </w:p>
    <w:p>
      <w:pPr>
        <w:pStyle w:val="2"/>
        <w:ind w:left="640" w:firstLine="440"/>
        <w:rPr>
          <w:rFonts w:hint="eastAsia"/>
          <w:lang w:val="en-US" w:eastAsia="zh-CN"/>
        </w:rPr>
      </w:pPr>
    </w:p>
    <w:p>
      <w:pPr>
        <w:pStyle w:val="2"/>
        <w:ind w:left="640" w:firstLine="440"/>
        <w:rPr>
          <w:rFonts w:hint="eastAsia"/>
          <w:lang w:val="en-US" w:eastAsia="zh-CN"/>
        </w:rPr>
      </w:pPr>
    </w:p>
    <w:p>
      <w:pPr>
        <w:pStyle w:val="2"/>
        <w:ind w:left="640" w:firstLine="440"/>
        <w:rPr>
          <w:rFonts w:hint="eastAsia"/>
          <w:lang w:val="en-US" w:eastAsia="zh-CN"/>
        </w:rPr>
      </w:pPr>
    </w:p>
    <w:p>
      <w:pPr>
        <w:pStyle w:val="2"/>
        <w:ind w:left="640" w:firstLine="440"/>
        <w:rPr>
          <w:rFonts w:hint="eastAsia"/>
          <w:lang w:val="en-US" w:eastAsia="zh-CN"/>
        </w:rPr>
      </w:pPr>
    </w:p>
    <w:p>
      <w:pPr>
        <w:pStyle w:val="2"/>
        <w:ind w:left="640" w:firstLine="440"/>
        <w:rPr>
          <w:rFonts w:hint="eastAsia"/>
          <w:lang w:val="en-US" w:eastAsia="zh-CN"/>
        </w:rPr>
      </w:pPr>
    </w:p>
    <w:p>
      <w:pPr>
        <w:pStyle w:val="2"/>
        <w:ind w:left="640" w:firstLine="440"/>
        <w:rPr>
          <w:rFonts w:hint="eastAsia"/>
          <w:lang w:val="en-US" w:eastAsia="zh-CN"/>
        </w:rPr>
      </w:pPr>
    </w:p>
    <w:p>
      <w:pPr>
        <w:spacing w:line="600" w:lineRule="exact"/>
        <w:ind w:firstLine="640"/>
        <w:jc w:val="center"/>
        <w:outlineLvl w:val="0"/>
        <w:rPr>
          <w:rFonts w:eastAsia="方正小标宋_GBK"/>
          <w:sz w:val="44"/>
          <w:szCs w:val="44"/>
        </w:rPr>
      </w:pPr>
      <w:r>
        <w:rPr>
          <w:rFonts w:eastAsia="方正小标宋_GBK"/>
          <w:sz w:val="44"/>
          <w:szCs w:val="44"/>
        </w:rPr>
        <w:t>第四部分  战略性新兴产业</w:t>
      </w:r>
      <w:bookmarkEnd w:id="356"/>
    </w:p>
    <w:p>
      <w:pPr>
        <w:pStyle w:val="2"/>
        <w:widowControl w:val="0"/>
        <w:spacing w:before="0" w:after="0" w:line="600" w:lineRule="exact"/>
        <w:ind w:left="0" w:leftChars="0" w:firstLine="0" w:firstLineChars="0"/>
        <w:jc w:val="center"/>
        <w:outlineLvl w:val="0"/>
        <w:rPr>
          <w:rFonts w:ascii="Times New Roman" w:hAnsi="Times New Roman" w:eastAsia="仿宋_GB2312"/>
          <w:sz w:val="32"/>
          <w:szCs w:val="32"/>
          <w:lang w:val="en-US" w:eastAsia="zh-CN"/>
        </w:rPr>
      </w:pPr>
      <w:bookmarkStart w:id="357" w:name="_Toc28752"/>
      <w:bookmarkStart w:id="358" w:name="_Toc14870"/>
      <w:bookmarkStart w:id="359" w:name="_Toc20530"/>
      <w:r>
        <w:rPr>
          <w:rFonts w:ascii="Times New Roman" w:hAnsi="Times New Roman" w:eastAsia="仿宋_GB2312"/>
          <w:sz w:val="32"/>
          <w:szCs w:val="32"/>
          <w:lang w:val="en-US" w:eastAsia="zh-CN"/>
        </w:rPr>
        <w:t>（自治区专项资金支持方向）</w:t>
      </w:r>
      <w:bookmarkEnd w:id="357"/>
      <w:bookmarkEnd w:id="358"/>
      <w:bookmarkEnd w:id="359"/>
    </w:p>
    <w:p>
      <w:pPr>
        <w:spacing w:line="600" w:lineRule="exact"/>
        <w:ind w:firstLine="642" w:firstLineChars="200"/>
        <w:rPr>
          <w:b/>
          <w:szCs w:val="32"/>
        </w:rPr>
      </w:pPr>
    </w:p>
    <w:p>
      <w:pPr>
        <w:spacing w:line="580" w:lineRule="exact"/>
        <w:ind w:firstLine="640" w:firstLineChars="200"/>
        <w:outlineLvl w:val="1"/>
        <w:rPr>
          <w:rFonts w:eastAsia="楷体"/>
          <w:bCs/>
          <w:szCs w:val="32"/>
        </w:rPr>
      </w:pPr>
      <w:bookmarkStart w:id="360" w:name="_Toc23096"/>
      <w:r>
        <w:rPr>
          <w:rFonts w:eastAsia="楷体"/>
          <w:bCs/>
          <w:szCs w:val="32"/>
        </w:rPr>
        <w:t>（一）新材料产业</w:t>
      </w:r>
      <w:bookmarkEnd w:id="360"/>
    </w:p>
    <w:p>
      <w:pPr>
        <w:spacing w:line="580" w:lineRule="exact"/>
        <w:ind w:firstLine="640" w:firstLineChars="200"/>
        <w:rPr>
          <w:szCs w:val="32"/>
        </w:rPr>
      </w:pPr>
      <w:r>
        <w:rPr>
          <w:szCs w:val="32"/>
        </w:rPr>
        <w:t>1.支持方向</w:t>
      </w:r>
    </w:p>
    <w:p>
      <w:pPr>
        <w:spacing w:line="580" w:lineRule="exact"/>
        <w:ind w:firstLine="640" w:firstLineChars="200"/>
        <w:rPr>
          <w:szCs w:val="32"/>
        </w:rPr>
      </w:pPr>
      <w:r>
        <w:rPr>
          <w:szCs w:val="32"/>
        </w:rPr>
        <w:t>发展新型功能材料、先进结构材料、高性能复合材料等新材料产业，重点支持新型金属功能材料、新型功能陶瓷材料、稀土功能材料、表面功能材料、新型催化材料及助剂、高品质新型有机活性材料、新型化学纤维及功能纺织材料，高品质特种钢铁材料、高性能有色金属及合金材料、新型结构陶瓷材料，高性能纤维及复合材料、金属基复合材料和陶瓷基复合材料。</w:t>
      </w:r>
    </w:p>
    <w:p>
      <w:pPr>
        <w:spacing w:line="580" w:lineRule="exact"/>
        <w:ind w:firstLine="640"/>
        <w:rPr>
          <w:szCs w:val="32"/>
        </w:rPr>
      </w:pPr>
      <w:r>
        <w:rPr>
          <w:szCs w:val="32"/>
        </w:rPr>
        <w:t>2.估算总投资及资金来源</w:t>
      </w:r>
    </w:p>
    <w:p>
      <w:pPr>
        <w:spacing w:line="580" w:lineRule="exact"/>
        <w:ind w:firstLine="640"/>
        <w:rPr>
          <w:szCs w:val="32"/>
        </w:rPr>
      </w:pPr>
      <w:r>
        <w:rPr>
          <w:szCs w:val="32"/>
        </w:rPr>
        <w:t xml:space="preserve">项目总投资规模一般应不低于3000万元，企业自有资金比例原则不低于总投资的1/3，其余资金来源已落实。  </w:t>
      </w:r>
    </w:p>
    <w:p>
      <w:pPr>
        <w:spacing w:line="580" w:lineRule="exact"/>
        <w:ind w:firstLine="640"/>
        <w:rPr>
          <w:szCs w:val="32"/>
        </w:rPr>
      </w:pPr>
      <w:r>
        <w:rPr>
          <w:szCs w:val="32"/>
        </w:rPr>
        <w:t>3.有关要求</w:t>
      </w:r>
    </w:p>
    <w:p>
      <w:pPr>
        <w:spacing w:line="580" w:lineRule="exact"/>
        <w:rPr>
          <w:szCs w:val="32"/>
        </w:rPr>
      </w:pPr>
      <w:r>
        <w:rPr>
          <w:szCs w:val="32"/>
        </w:rPr>
        <w:t xml:space="preserve">    申报项目所采用的技术应具有自主知识产权或为引进技术（近3年获得的专利技术），经过小试、中试等工程性检验，具有较好的稳定性和产业化生产基础，产品应具有较好的市场前景。凡经有关部门认定具有自治区及以上的重点实验室、工程研究中心、企业技术中心的企业和国家高新技术企业，同等条件下，予以优先支持。</w:t>
      </w:r>
    </w:p>
    <w:p>
      <w:pPr>
        <w:spacing w:line="580" w:lineRule="exact"/>
        <w:ind w:firstLine="640" w:firstLineChars="200"/>
        <w:outlineLvl w:val="1"/>
        <w:rPr>
          <w:rFonts w:eastAsia="楷体"/>
          <w:bCs/>
          <w:szCs w:val="32"/>
        </w:rPr>
      </w:pPr>
      <w:bookmarkStart w:id="361" w:name="_Toc13255"/>
      <w:r>
        <w:rPr>
          <w:rFonts w:eastAsia="楷体"/>
          <w:bCs/>
          <w:szCs w:val="32"/>
        </w:rPr>
        <w:t>（二）新能源产业</w:t>
      </w:r>
      <w:bookmarkEnd w:id="361"/>
    </w:p>
    <w:p>
      <w:pPr>
        <w:spacing w:line="580" w:lineRule="exact"/>
        <w:ind w:firstLine="640" w:firstLineChars="200"/>
        <w:rPr>
          <w:szCs w:val="32"/>
        </w:rPr>
      </w:pPr>
      <w:r>
        <w:rPr>
          <w:szCs w:val="32"/>
        </w:rPr>
        <w:t>1.支持方向</w:t>
      </w:r>
    </w:p>
    <w:p>
      <w:pPr>
        <w:spacing w:line="580" w:lineRule="exact"/>
        <w:ind w:firstLine="640" w:firstLineChars="200"/>
        <w:rPr>
          <w:szCs w:val="32"/>
        </w:rPr>
      </w:pPr>
      <w:r>
        <w:rPr>
          <w:szCs w:val="32"/>
        </w:rPr>
        <w:t>发展风能、太阳能等新能源产业，重点支持风力发电机组、零部件、风电场相关系统与装备、风力发电技术服务；太阳能产品、生产装备、发电技术服务、智能电网设备及系统。</w:t>
      </w:r>
    </w:p>
    <w:p>
      <w:pPr>
        <w:spacing w:line="580" w:lineRule="exact"/>
        <w:ind w:firstLine="640"/>
        <w:rPr>
          <w:szCs w:val="32"/>
        </w:rPr>
      </w:pPr>
      <w:r>
        <w:rPr>
          <w:szCs w:val="32"/>
        </w:rPr>
        <w:t>2.估算总投资及资金来源</w:t>
      </w:r>
    </w:p>
    <w:p>
      <w:pPr>
        <w:spacing w:line="580" w:lineRule="exact"/>
        <w:ind w:firstLine="640"/>
        <w:rPr>
          <w:szCs w:val="32"/>
        </w:rPr>
      </w:pPr>
      <w:r>
        <w:rPr>
          <w:szCs w:val="32"/>
        </w:rPr>
        <w:t xml:space="preserve">项目总投资规模一般应不低于3000万元，企业自有资金比例原则不低于总投资的1/3，其余资金来源已落实。  </w:t>
      </w:r>
    </w:p>
    <w:p>
      <w:pPr>
        <w:spacing w:line="580" w:lineRule="exact"/>
        <w:ind w:firstLine="640"/>
        <w:rPr>
          <w:szCs w:val="32"/>
        </w:rPr>
      </w:pPr>
      <w:r>
        <w:rPr>
          <w:szCs w:val="32"/>
        </w:rPr>
        <w:t>3.有关要求</w:t>
      </w:r>
    </w:p>
    <w:p>
      <w:pPr>
        <w:spacing w:line="580" w:lineRule="exact"/>
        <w:rPr>
          <w:szCs w:val="32"/>
        </w:rPr>
      </w:pPr>
      <w:r>
        <w:rPr>
          <w:szCs w:val="32"/>
        </w:rPr>
        <w:t xml:space="preserve">    申报项目所采用的技术应具有自主知识产权或为引进技术（近3年获得的专利技术），经过小试、中试等工程性检验，具有较好的稳定性和产业化生产基础，产品应具有较好的市场前景。凡经有关部门认定具有自治区及以上的重点实验室、工程研究中心、企业技术中心的企业和国家高新技术企业，同等条件下，予以优先支持。</w:t>
      </w:r>
    </w:p>
    <w:p>
      <w:pPr>
        <w:spacing w:line="580" w:lineRule="exact"/>
        <w:ind w:firstLine="640" w:firstLineChars="200"/>
        <w:outlineLvl w:val="1"/>
        <w:rPr>
          <w:rFonts w:eastAsia="楷体"/>
          <w:bCs/>
          <w:szCs w:val="32"/>
        </w:rPr>
      </w:pPr>
      <w:bookmarkStart w:id="362" w:name="_Toc14326"/>
      <w:r>
        <w:rPr>
          <w:rFonts w:eastAsia="楷体"/>
          <w:bCs/>
          <w:szCs w:val="32"/>
        </w:rPr>
        <w:t>（三）先进装备制造产业</w:t>
      </w:r>
      <w:bookmarkEnd w:id="362"/>
    </w:p>
    <w:p>
      <w:pPr>
        <w:spacing w:line="580" w:lineRule="exact"/>
        <w:ind w:firstLine="640" w:firstLineChars="200"/>
        <w:rPr>
          <w:szCs w:val="32"/>
        </w:rPr>
      </w:pPr>
      <w:r>
        <w:rPr>
          <w:szCs w:val="32"/>
        </w:rPr>
        <w:t>1.支持方向</w:t>
      </w:r>
    </w:p>
    <w:p>
      <w:pPr>
        <w:spacing w:line="580" w:lineRule="exact"/>
        <w:ind w:firstLine="640" w:firstLineChars="200"/>
        <w:rPr>
          <w:szCs w:val="32"/>
        </w:rPr>
      </w:pPr>
      <w:r>
        <w:rPr>
          <w:szCs w:val="32"/>
        </w:rPr>
        <w:t>发展智能制造装备、航空、卫星及应用、轨道交通装备、海洋工程装备等先进装备制造产业，重点支持智能测控装置、智能装备关键基础零部件、工业机器人与工作站、智能加工装备、智能物流装备、智能农机装备、增材制造（3D打印），民用飞机（含直升机）、航空设备及系统、航空材料、航空运营及支持、航空维修及技术服务，卫星通信、导航、遥感应用系统；轨道交通专用设备、关键系统及部件，海洋工程关键配套设备和系统。</w:t>
      </w:r>
    </w:p>
    <w:p>
      <w:pPr>
        <w:spacing w:line="580" w:lineRule="exact"/>
        <w:ind w:firstLine="640"/>
        <w:rPr>
          <w:szCs w:val="32"/>
        </w:rPr>
      </w:pPr>
      <w:r>
        <w:rPr>
          <w:szCs w:val="32"/>
        </w:rPr>
        <w:t>2.估算总投资及资金来源</w:t>
      </w:r>
    </w:p>
    <w:p>
      <w:pPr>
        <w:spacing w:line="580" w:lineRule="exact"/>
        <w:ind w:firstLine="640"/>
        <w:rPr>
          <w:szCs w:val="32"/>
        </w:rPr>
      </w:pPr>
      <w:r>
        <w:rPr>
          <w:szCs w:val="32"/>
        </w:rPr>
        <w:t xml:space="preserve">项目总投资规模一般应不低于3000万元，企业自有资金比例原则不低于总投资的1/3，其余资金来源已落实。 </w:t>
      </w:r>
    </w:p>
    <w:p>
      <w:pPr>
        <w:spacing w:line="580" w:lineRule="exact"/>
        <w:ind w:firstLine="640"/>
        <w:rPr>
          <w:szCs w:val="32"/>
        </w:rPr>
      </w:pPr>
      <w:r>
        <w:rPr>
          <w:szCs w:val="32"/>
        </w:rPr>
        <w:t>3.有关要求</w:t>
      </w:r>
    </w:p>
    <w:p>
      <w:pPr>
        <w:spacing w:line="580" w:lineRule="exact"/>
        <w:rPr>
          <w:szCs w:val="32"/>
        </w:rPr>
      </w:pPr>
      <w:r>
        <w:rPr>
          <w:szCs w:val="32"/>
        </w:rPr>
        <w:t xml:space="preserve">    申报项目所采用的技术应具有自主知识产权或为引进技术（近3年获得的专利技术），经过小试、中试等工程性检验，具有较好的稳定性和产业化生产基础，产品应具有较好的市场前景。凡经有关部门认定具有自治区及以上的重点实验室、工程研究中心、企业技术中心的企业和国家高新技术企业，同等条件下，予以优先支持。</w:t>
      </w:r>
    </w:p>
    <w:p>
      <w:pPr>
        <w:spacing w:line="580" w:lineRule="exact"/>
        <w:ind w:firstLine="640" w:firstLineChars="200"/>
        <w:outlineLvl w:val="1"/>
        <w:rPr>
          <w:rFonts w:eastAsia="楷体"/>
          <w:bCs/>
          <w:szCs w:val="32"/>
        </w:rPr>
      </w:pPr>
      <w:bookmarkStart w:id="363" w:name="_Toc13503"/>
      <w:r>
        <w:rPr>
          <w:rFonts w:eastAsia="楷体"/>
          <w:bCs/>
          <w:szCs w:val="32"/>
        </w:rPr>
        <w:t>（四）生物产业</w:t>
      </w:r>
      <w:bookmarkEnd w:id="363"/>
    </w:p>
    <w:p>
      <w:pPr>
        <w:spacing w:line="580" w:lineRule="exact"/>
        <w:ind w:firstLine="640" w:firstLineChars="200"/>
        <w:rPr>
          <w:szCs w:val="32"/>
        </w:rPr>
      </w:pPr>
      <w:r>
        <w:rPr>
          <w:szCs w:val="32"/>
        </w:rPr>
        <w:t>1.支持方向</w:t>
      </w:r>
    </w:p>
    <w:p>
      <w:pPr>
        <w:spacing w:line="580" w:lineRule="exact"/>
        <w:ind w:firstLine="640" w:firstLineChars="200"/>
        <w:rPr>
          <w:spacing w:val="-4"/>
          <w:szCs w:val="32"/>
        </w:rPr>
      </w:pPr>
      <w:r>
        <w:rPr>
          <w:szCs w:val="32"/>
        </w:rPr>
        <w:t>发展生物医药、生物医学工程、生物农业、生物制造、生物质能等生物产业，重点支持新型疫苗、化学药品制造、现代中药与民族药、生物医药服务，医用检查检验仪器及服务、植介入生物医用材料及服务，生物育种、生物农药、生物肥料、生物饲料、生物兽药、兽用生物制品及疫苗、生物食品，生物基材料</w:t>
      </w:r>
      <w:r>
        <w:rPr>
          <w:spacing w:val="-4"/>
          <w:szCs w:val="32"/>
        </w:rPr>
        <w:t>。</w:t>
      </w:r>
    </w:p>
    <w:p>
      <w:pPr>
        <w:spacing w:line="580" w:lineRule="exact"/>
        <w:ind w:firstLine="640"/>
        <w:rPr>
          <w:szCs w:val="32"/>
        </w:rPr>
      </w:pPr>
      <w:r>
        <w:rPr>
          <w:szCs w:val="32"/>
        </w:rPr>
        <w:t>2.估算总投资及资金来源</w:t>
      </w:r>
    </w:p>
    <w:p>
      <w:pPr>
        <w:spacing w:line="580" w:lineRule="exact"/>
        <w:ind w:firstLine="640"/>
        <w:rPr>
          <w:szCs w:val="32"/>
        </w:rPr>
      </w:pPr>
      <w:r>
        <w:rPr>
          <w:szCs w:val="32"/>
        </w:rPr>
        <w:t xml:space="preserve">项目总投资规模一般应不低于3000万元，企业自有资金比例原则不低于总投资的1/3，其余资金来源已落实。  </w:t>
      </w:r>
    </w:p>
    <w:p>
      <w:pPr>
        <w:spacing w:line="580" w:lineRule="exact"/>
        <w:ind w:firstLine="640"/>
        <w:rPr>
          <w:szCs w:val="32"/>
        </w:rPr>
      </w:pPr>
      <w:r>
        <w:rPr>
          <w:szCs w:val="32"/>
        </w:rPr>
        <w:t>3.有关要求</w:t>
      </w:r>
    </w:p>
    <w:p>
      <w:pPr>
        <w:spacing w:line="580" w:lineRule="exact"/>
        <w:rPr>
          <w:szCs w:val="32"/>
        </w:rPr>
      </w:pPr>
      <w:r>
        <w:rPr>
          <w:szCs w:val="32"/>
        </w:rPr>
        <w:t xml:space="preserve">    申报项目所采用的技术应具有自主知识产权或为引进技术（近3年获得的专利技术），经过小试、中试等工程性检验，具有较好的稳定性和产业化生产基础，产品应具有较好的市场前景。凡经有关部门认定具有自治区及以上的重点实验室、工程研究中心、企业技术中心的企业和国家高新技术企业，同等条件下，予以优先支持。</w:t>
      </w:r>
    </w:p>
    <w:p>
      <w:pPr>
        <w:spacing w:line="580" w:lineRule="exact"/>
        <w:ind w:firstLine="640" w:firstLineChars="200"/>
        <w:outlineLvl w:val="1"/>
        <w:rPr>
          <w:rFonts w:eastAsia="楷体"/>
          <w:bCs/>
          <w:szCs w:val="32"/>
        </w:rPr>
      </w:pPr>
      <w:bookmarkStart w:id="364" w:name="_Toc11925"/>
      <w:r>
        <w:rPr>
          <w:rFonts w:eastAsia="楷体"/>
          <w:bCs/>
          <w:szCs w:val="32"/>
        </w:rPr>
        <w:t>（五）节能环保产业</w:t>
      </w:r>
      <w:bookmarkEnd w:id="364"/>
    </w:p>
    <w:p>
      <w:pPr>
        <w:spacing w:line="580" w:lineRule="exact"/>
        <w:ind w:firstLine="640" w:firstLineChars="200"/>
        <w:rPr>
          <w:szCs w:val="32"/>
        </w:rPr>
      </w:pPr>
      <w:r>
        <w:rPr>
          <w:szCs w:val="32"/>
        </w:rPr>
        <w:t>1.支持方向</w:t>
      </w:r>
    </w:p>
    <w:p>
      <w:pPr>
        <w:spacing w:line="580" w:lineRule="exact"/>
        <w:ind w:firstLine="640" w:firstLineChars="200"/>
        <w:rPr>
          <w:szCs w:val="32"/>
        </w:rPr>
      </w:pPr>
      <w:r>
        <w:rPr>
          <w:szCs w:val="32"/>
        </w:rPr>
        <w:t>发展高效节能、先进环保、资源循环利用等节能环保产业，重点支持电机及拖动设备、余热余压余气利用、高效储能、节能监测和能源计量、高效照明产品及系统、绿色建筑材料，水污染防治装备、大气污染防治装备、固体废物处理处置装备、智能水务、大气、水、土壤环境污染防治服务，矿产资源综合利用、固体废物综合利用、建筑废弃物、餐厨废弃物资源化无害化利用、汽车零部件及机电产品再制造、资源循环利用服务。</w:t>
      </w:r>
    </w:p>
    <w:p>
      <w:pPr>
        <w:spacing w:line="580" w:lineRule="exact"/>
        <w:ind w:firstLine="640"/>
        <w:rPr>
          <w:szCs w:val="32"/>
        </w:rPr>
      </w:pPr>
      <w:r>
        <w:rPr>
          <w:szCs w:val="32"/>
        </w:rPr>
        <w:t>2.估算总投资及资金来源</w:t>
      </w:r>
    </w:p>
    <w:p>
      <w:pPr>
        <w:spacing w:line="580" w:lineRule="exact"/>
        <w:ind w:firstLine="640"/>
        <w:rPr>
          <w:szCs w:val="32"/>
        </w:rPr>
      </w:pPr>
      <w:r>
        <w:rPr>
          <w:szCs w:val="32"/>
        </w:rPr>
        <w:t xml:space="preserve">项目总投资规模一般应不低于3000万元，企业自有资金比例原则不低于总投资的1/3，其余资金来源已落实。 </w:t>
      </w:r>
    </w:p>
    <w:p>
      <w:pPr>
        <w:spacing w:line="580" w:lineRule="exact"/>
        <w:ind w:firstLine="640"/>
        <w:rPr>
          <w:szCs w:val="32"/>
        </w:rPr>
      </w:pPr>
      <w:r>
        <w:rPr>
          <w:szCs w:val="32"/>
        </w:rPr>
        <w:t>3.有关要求</w:t>
      </w:r>
    </w:p>
    <w:p>
      <w:pPr>
        <w:spacing w:line="580" w:lineRule="exact"/>
        <w:rPr>
          <w:szCs w:val="32"/>
        </w:rPr>
      </w:pPr>
      <w:r>
        <w:rPr>
          <w:szCs w:val="32"/>
        </w:rPr>
        <w:t xml:space="preserve">    申报项目所采用的技术应具有自主知识产权或为引进技术（近3年获得的专利技术），经过小试、中试等工程性检验，具有较好的稳定性和产业化生产基础，产品应具有较好的市场前景。凡经有关部门认定具有自治区及以上的重点实验室、工程研究中心、企业技术中心的企业和国家高新技术企业，同等条件下，予以优先支持。</w:t>
      </w:r>
    </w:p>
    <w:p>
      <w:pPr>
        <w:spacing w:line="580" w:lineRule="exact"/>
        <w:ind w:firstLine="640" w:firstLineChars="200"/>
        <w:outlineLvl w:val="1"/>
        <w:rPr>
          <w:rFonts w:eastAsia="楷体"/>
          <w:bCs/>
          <w:szCs w:val="32"/>
        </w:rPr>
      </w:pPr>
      <w:bookmarkStart w:id="365" w:name="_Toc3059"/>
      <w:r>
        <w:rPr>
          <w:rFonts w:eastAsia="楷体"/>
          <w:bCs/>
          <w:szCs w:val="32"/>
        </w:rPr>
        <w:t>（六）新一代信息技术产业</w:t>
      </w:r>
      <w:bookmarkEnd w:id="365"/>
    </w:p>
    <w:p>
      <w:pPr>
        <w:spacing w:line="580" w:lineRule="exact"/>
        <w:ind w:firstLine="640" w:firstLineChars="200"/>
        <w:rPr>
          <w:szCs w:val="32"/>
        </w:rPr>
      </w:pPr>
      <w:r>
        <w:rPr>
          <w:szCs w:val="32"/>
        </w:rPr>
        <w:t>1.支持方向</w:t>
      </w:r>
    </w:p>
    <w:p>
      <w:pPr>
        <w:spacing w:line="580" w:lineRule="exact"/>
        <w:ind w:firstLine="640" w:firstLineChars="200"/>
        <w:rPr>
          <w:szCs w:val="32"/>
        </w:rPr>
      </w:pPr>
      <w:r>
        <w:rPr>
          <w:szCs w:val="32"/>
        </w:rPr>
        <w:t>发展下一代信息网络、信息技术服务、电子核心产业、网络信息安全产品和服务、人工智能等新一代信息技术产业，重点支持信息终端设备、网络运营服务，新兴软件及服务、“互联网+”应用服务、大数据服务，集成电路、新型显示器件、新型元器件、高端储能、关键电子材料、电子专用设备仪器，网络与信息安全软硬件及服务，人工智能平台、软件、智能机器人及相关硬件、人工智能系统。</w:t>
      </w:r>
    </w:p>
    <w:p>
      <w:pPr>
        <w:spacing w:line="580" w:lineRule="exact"/>
        <w:ind w:firstLine="640"/>
        <w:rPr>
          <w:szCs w:val="32"/>
        </w:rPr>
      </w:pPr>
      <w:r>
        <w:rPr>
          <w:szCs w:val="32"/>
        </w:rPr>
        <w:t>2.估算总投资及资金来源</w:t>
      </w:r>
    </w:p>
    <w:p>
      <w:pPr>
        <w:spacing w:line="580" w:lineRule="exact"/>
        <w:ind w:firstLine="640"/>
        <w:rPr>
          <w:szCs w:val="32"/>
        </w:rPr>
      </w:pPr>
      <w:r>
        <w:rPr>
          <w:szCs w:val="32"/>
        </w:rPr>
        <w:t xml:space="preserve">项目总投资规模一般应不低于3000万元，企业自有资金比例原则不低于总投资的1/3，其余资金来源已落实。 </w:t>
      </w:r>
    </w:p>
    <w:p>
      <w:pPr>
        <w:spacing w:line="580" w:lineRule="exact"/>
        <w:ind w:firstLine="640"/>
        <w:rPr>
          <w:szCs w:val="32"/>
        </w:rPr>
      </w:pPr>
      <w:r>
        <w:rPr>
          <w:szCs w:val="32"/>
        </w:rPr>
        <w:t>3.有关要求</w:t>
      </w:r>
    </w:p>
    <w:p>
      <w:pPr>
        <w:spacing w:line="580" w:lineRule="exact"/>
        <w:rPr>
          <w:szCs w:val="32"/>
        </w:rPr>
      </w:pPr>
      <w:r>
        <w:rPr>
          <w:szCs w:val="32"/>
        </w:rPr>
        <w:t xml:space="preserve">    申报项目所采用的技术应具有自主知识产权或为引进技术（近3年获得的专利技术），经过小试、中试等工程性检验，具有较好的稳定性和产业化生产基础，产品应具有较好的市场前景。凡经有关部门认定具有自治区及以上的重点实验室、工程研究中心、企业技术中心的企业和国家高新技术企业，同等条件下，予以优先支持。</w:t>
      </w:r>
    </w:p>
    <w:p>
      <w:pPr>
        <w:spacing w:line="580" w:lineRule="exact"/>
        <w:ind w:firstLine="640" w:firstLineChars="200"/>
        <w:outlineLvl w:val="1"/>
        <w:rPr>
          <w:rFonts w:eastAsia="楷体"/>
          <w:bCs/>
          <w:szCs w:val="32"/>
        </w:rPr>
      </w:pPr>
      <w:bookmarkStart w:id="366" w:name="_Toc235"/>
      <w:r>
        <w:rPr>
          <w:rFonts w:eastAsia="楷体"/>
          <w:bCs/>
          <w:szCs w:val="32"/>
        </w:rPr>
        <w:t>（七）数字创意产业</w:t>
      </w:r>
      <w:bookmarkEnd w:id="366"/>
    </w:p>
    <w:p>
      <w:pPr>
        <w:spacing w:line="580" w:lineRule="exact"/>
        <w:ind w:firstLine="640"/>
        <w:rPr>
          <w:szCs w:val="32"/>
        </w:rPr>
      </w:pPr>
      <w:r>
        <w:rPr>
          <w:szCs w:val="32"/>
        </w:rPr>
        <w:t>1.支持方向</w:t>
      </w:r>
    </w:p>
    <w:p>
      <w:pPr>
        <w:spacing w:line="580" w:lineRule="exact"/>
        <w:ind w:firstLine="640"/>
        <w:rPr>
          <w:szCs w:val="32"/>
        </w:rPr>
      </w:pPr>
      <w:r>
        <w:rPr>
          <w:szCs w:val="32"/>
        </w:rPr>
        <w:t>发展数字文化创意、设计服务、数字创意与相关产业融合应用服务等数字创意产业，重点支持数字文化创意技术装备、软件、内容制作、新型媒体服务、数字文化创意内容应用服务，工业设计服务、人居环境设计服务。</w:t>
      </w:r>
    </w:p>
    <w:p>
      <w:pPr>
        <w:spacing w:line="580" w:lineRule="exact"/>
        <w:ind w:firstLine="640"/>
        <w:rPr>
          <w:szCs w:val="32"/>
        </w:rPr>
      </w:pPr>
      <w:r>
        <w:rPr>
          <w:szCs w:val="32"/>
        </w:rPr>
        <w:t>2.估算总投资及资金来源</w:t>
      </w:r>
    </w:p>
    <w:p>
      <w:pPr>
        <w:spacing w:line="580" w:lineRule="exact"/>
        <w:ind w:firstLine="640"/>
        <w:rPr>
          <w:szCs w:val="32"/>
        </w:rPr>
      </w:pPr>
      <w:r>
        <w:rPr>
          <w:szCs w:val="32"/>
        </w:rPr>
        <w:t xml:space="preserve">项目总投资规模一般应不低于3000万元，企业自有资金比例原则不低于总投资的1/3，其余资金来源已落实。 </w:t>
      </w:r>
    </w:p>
    <w:p>
      <w:pPr>
        <w:spacing w:line="580" w:lineRule="exact"/>
        <w:ind w:firstLine="640"/>
        <w:rPr>
          <w:szCs w:val="32"/>
        </w:rPr>
      </w:pPr>
      <w:r>
        <w:rPr>
          <w:szCs w:val="32"/>
        </w:rPr>
        <w:t>3.有关要求</w:t>
      </w:r>
    </w:p>
    <w:p>
      <w:pPr>
        <w:spacing w:line="580" w:lineRule="exact"/>
        <w:rPr>
          <w:szCs w:val="32"/>
        </w:rPr>
      </w:pPr>
      <w:r>
        <w:rPr>
          <w:szCs w:val="32"/>
        </w:rPr>
        <w:t xml:space="preserve">    申报项目所采用的技术应具有自主知识产权或为引进技术（近3年获得的专利技术），经过小试、中试等工程性检验，具有较好的稳定性和产业化生产基础，产品应具有较好的市场前景。凡经有关部门认定具有自治区及以上的重点实验室、工程研究中心、企业技术中心的企业和国家高新技术企业，同等条件下，予以优先支持。</w:t>
      </w:r>
    </w:p>
    <w:p>
      <w:pPr>
        <w:pStyle w:val="5"/>
        <w:spacing w:before="0" w:beforeLines="0" w:line="580" w:lineRule="exact"/>
        <w:ind w:left="0" w:leftChars="0" w:firstLine="0" w:firstLineChars="0"/>
        <w:rPr>
          <w:rFonts w:ascii="Times New Roman" w:hAnsi="Times New Roman"/>
          <w:sz w:val="32"/>
          <w:szCs w:val="32"/>
        </w:rPr>
      </w:pPr>
      <w:r>
        <w:rPr>
          <w:rFonts w:ascii="Times New Roman" w:hAnsi="Times New Roman"/>
          <w:sz w:val="32"/>
          <w:szCs w:val="32"/>
        </w:rPr>
        <w:t xml:space="preserve">    </w:t>
      </w:r>
      <w:bookmarkStart w:id="367" w:name="_Toc29120"/>
      <w:r>
        <w:rPr>
          <w:rFonts w:ascii="Times New Roman" w:hAnsi="Times New Roman" w:eastAsia="楷体"/>
          <w:sz w:val="32"/>
          <w:szCs w:val="32"/>
        </w:rPr>
        <w:t>（八）重大科技基础设施</w:t>
      </w:r>
      <w:bookmarkEnd w:id="367"/>
    </w:p>
    <w:p>
      <w:pPr>
        <w:spacing w:line="580" w:lineRule="exact"/>
        <w:rPr>
          <w:szCs w:val="32"/>
        </w:rPr>
      </w:pPr>
      <w:r>
        <w:rPr>
          <w:szCs w:val="32"/>
        </w:rPr>
        <w:t xml:space="preserve">    1.支持方向 </w:t>
      </w:r>
    </w:p>
    <w:p>
      <w:pPr>
        <w:spacing w:line="580" w:lineRule="exact"/>
        <w:ind w:firstLine="475"/>
        <w:rPr>
          <w:szCs w:val="32"/>
        </w:rPr>
      </w:pPr>
      <w:r>
        <w:rPr>
          <w:szCs w:val="32"/>
        </w:rPr>
        <w:t>重大科技基础设施项目是指为开展重大科学技术攻关或标准体系建设所需要的基础设施建设项目，主要包括新建或改扩建实验室、小试、中试车间等建设工程和购置研发、检测仪器设备等。重点支持在特色农业（枸杞、葡萄、滩羊）、煤化工、先进装备制造、新材料、生物、健康医疗、大数据、智慧城市等领域开展科技攻关并有重大技术突破或标准体系建设的项目。</w:t>
      </w:r>
    </w:p>
    <w:p>
      <w:pPr>
        <w:spacing w:line="580" w:lineRule="exact"/>
        <w:rPr>
          <w:szCs w:val="32"/>
        </w:rPr>
      </w:pPr>
      <w:r>
        <w:rPr>
          <w:szCs w:val="32"/>
        </w:rPr>
        <w:t xml:space="preserve">    2.申报条件</w:t>
      </w:r>
    </w:p>
    <w:p>
      <w:pPr>
        <w:spacing w:line="580" w:lineRule="exact"/>
        <w:rPr>
          <w:szCs w:val="32"/>
        </w:rPr>
      </w:pPr>
      <w:r>
        <w:rPr>
          <w:szCs w:val="32"/>
        </w:rPr>
        <w:t xml:space="preserve">    申报企业应具有较强的研发实力，在该领域具有明显技术优势，原则上应拥有国家或自治区认定的重点实验室、工程研究中心、企业技术中心等创新平台，并具有较强的资金筹措能力。所申报项目应具有一定技术基础，且必须有明确的技术攻关目标。已开展或拟开展建设的项目均可申报。</w:t>
      </w:r>
    </w:p>
    <w:p>
      <w:pPr>
        <w:pStyle w:val="5"/>
        <w:spacing w:before="0" w:beforeLines="0" w:line="600" w:lineRule="exact"/>
        <w:ind w:left="0" w:leftChars="0" w:firstLine="600"/>
        <w:rPr>
          <w:rFonts w:ascii="Times New Roman" w:hAnsi="Times New Roman"/>
        </w:rPr>
      </w:pPr>
    </w:p>
    <w:p>
      <w:pPr>
        <w:pStyle w:val="2"/>
        <w:widowControl w:val="0"/>
        <w:spacing w:before="0" w:after="0" w:line="600" w:lineRule="exact"/>
        <w:ind w:left="0" w:leftChars="0" w:firstLine="440"/>
        <w:rPr>
          <w:rFonts w:ascii="Times New Roman" w:hAnsi="Times New Roman"/>
          <w:lang w:eastAsia="zh-CN"/>
        </w:rPr>
      </w:pPr>
    </w:p>
    <w:p>
      <w:pPr>
        <w:pStyle w:val="2"/>
        <w:widowControl w:val="0"/>
        <w:spacing w:before="0" w:after="0" w:line="600" w:lineRule="exact"/>
        <w:ind w:left="0" w:leftChars="0" w:firstLine="0" w:firstLineChars="0"/>
        <w:jc w:val="center"/>
        <w:outlineLvl w:val="0"/>
        <w:rPr>
          <w:rFonts w:ascii="Times New Roman" w:hAnsi="Times New Roman" w:eastAsia="方正小标宋_GBK"/>
          <w:sz w:val="44"/>
          <w:szCs w:val="44"/>
          <w:lang w:val="en-US" w:eastAsia="zh-CN"/>
        </w:rPr>
      </w:pPr>
    </w:p>
    <w:p>
      <w:pPr>
        <w:pStyle w:val="2"/>
        <w:widowControl w:val="0"/>
        <w:spacing w:before="0" w:after="0" w:line="600" w:lineRule="exact"/>
        <w:ind w:left="0" w:leftChars="0" w:firstLine="0" w:firstLineChars="0"/>
        <w:jc w:val="center"/>
        <w:outlineLvl w:val="0"/>
        <w:rPr>
          <w:rFonts w:ascii="Times New Roman" w:hAnsi="Times New Roman" w:eastAsia="方正小标宋_GBK"/>
          <w:sz w:val="44"/>
          <w:szCs w:val="44"/>
          <w:lang w:val="en-US" w:eastAsia="zh-CN"/>
        </w:rPr>
      </w:pPr>
    </w:p>
    <w:p>
      <w:pPr>
        <w:spacing w:line="600" w:lineRule="exact"/>
        <w:jc w:val="center"/>
        <w:outlineLvl w:val="0"/>
        <w:rPr>
          <w:rFonts w:eastAsia="方正小标宋_GBK"/>
          <w:sz w:val="44"/>
          <w:szCs w:val="44"/>
        </w:rPr>
      </w:pPr>
      <w:bookmarkStart w:id="368" w:name="_Toc2872"/>
      <w:r>
        <w:rPr>
          <w:rFonts w:eastAsia="方正小标宋_GBK"/>
          <w:sz w:val="44"/>
          <w:szCs w:val="44"/>
        </w:rPr>
        <w:t>第五部分  “一带一路”建设</w:t>
      </w:r>
      <w:bookmarkEnd w:id="368"/>
    </w:p>
    <w:p>
      <w:pPr>
        <w:spacing w:line="600" w:lineRule="exact"/>
        <w:rPr>
          <w:szCs w:val="32"/>
        </w:rPr>
      </w:pPr>
    </w:p>
    <w:p>
      <w:pPr>
        <w:spacing w:line="600" w:lineRule="exact"/>
        <w:ind w:firstLine="640"/>
        <w:outlineLvl w:val="1"/>
        <w:rPr>
          <w:rFonts w:eastAsia="黑体"/>
          <w:szCs w:val="32"/>
        </w:rPr>
      </w:pPr>
      <w:bookmarkStart w:id="369" w:name="_Toc10581"/>
      <w:r>
        <w:rPr>
          <w:rFonts w:eastAsia="黑体"/>
          <w:szCs w:val="32"/>
        </w:rPr>
        <w:t>开放平台建设</w:t>
      </w:r>
      <w:bookmarkEnd w:id="369"/>
    </w:p>
    <w:p>
      <w:pPr>
        <w:spacing w:line="600" w:lineRule="exact"/>
        <w:rPr>
          <w:szCs w:val="32"/>
        </w:rPr>
      </w:pPr>
      <w:r>
        <w:rPr>
          <w:szCs w:val="32"/>
        </w:rPr>
        <w:t xml:space="preserve">    支持试验区等开放合作平台改善发展条件，引导生产要素集聚，促进形成地区经济发展的增长极、推进“一带一路”建设的排头兵。</w:t>
      </w:r>
    </w:p>
    <w:p>
      <w:pPr>
        <w:spacing w:line="600" w:lineRule="exact"/>
        <w:ind w:firstLine="640"/>
        <w:rPr>
          <w:szCs w:val="32"/>
        </w:rPr>
      </w:pPr>
      <w:r>
        <w:rPr>
          <w:szCs w:val="32"/>
        </w:rPr>
        <w:t>1.项目领域</w:t>
      </w:r>
    </w:p>
    <w:p>
      <w:pPr>
        <w:spacing w:line="600" w:lineRule="exact"/>
        <w:ind w:firstLine="640"/>
        <w:rPr>
          <w:szCs w:val="32"/>
        </w:rPr>
      </w:pPr>
      <w:r>
        <w:rPr>
          <w:szCs w:val="32"/>
        </w:rPr>
        <w:t>开放合作平台建设指经国务院批准、在沿边地区设立的重点开发开放试验区；中西部地区的中欧班列集结中心、中外合作产业园等“一带一路”建设相关平台。</w:t>
      </w:r>
    </w:p>
    <w:p>
      <w:pPr>
        <w:spacing w:line="600" w:lineRule="exact"/>
        <w:ind w:firstLine="640"/>
        <w:rPr>
          <w:szCs w:val="32"/>
        </w:rPr>
      </w:pPr>
      <w:r>
        <w:rPr>
          <w:szCs w:val="32"/>
        </w:rPr>
        <w:t>2.支持方向</w:t>
      </w:r>
    </w:p>
    <w:p>
      <w:pPr>
        <w:spacing w:line="600" w:lineRule="exact"/>
        <w:ind w:firstLine="640"/>
        <w:rPr>
          <w:szCs w:val="32"/>
        </w:rPr>
      </w:pPr>
      <w:r>
        <w:rPr>
          <w:szCs w:val="32"/>
        </w:rPr>
        <w:t>专项投资重点支持市场不能有效配置资源，需要政府支持的经济和社会领域，包括：试验区园区道路、供水、供电及其他公共基础设施项目；试验区展示中心等公共服务设施投资项目；中西部地区的中欧班列集结中心、中外合作产业园等“一带一路”开放合作平台的园区配套基础设施、公共服务设施项目。</w:t>
      </w:r>
    </w:p>
    <w:p>
      <w:pPr>
        <w:spacing w:line="600" w:lineRule="exact"/>
        <w:ind w:firstLine="640"/>
        <w:rPr>
          <w:szCs w:val="32"/>
        </w:rPr>
      </w:pPr>
      <w:r>
        <w:rPr>
          <w:szCs w:val="32"/>
        </w:rPr>
        <w:t>3.支持方式和标准</w:t>
      </w:r>
    </w:p>
    <w:p>
      <w:pPr>
        <w:spacing w:line="600" w:lineRule="exact"/>
        <w:ind w:firstLine="640"/>
        <w:rPr>
          <w:szCs w:val="32"/>
        </w:rPr>
      </w:pPr>
      <w:r>
        <w:rPr>
          <w:szCs w:val="32"/>
        </w:rPr>
        <w:t>专项投资采取投资补助支持方式，切块下达，由地方发展改革部门落实到具体项目。中央预算内投资不超过项目总投资的50%，单个项目投资补助原则上不超过3000万元。</w:t>
      </w:r>
    </w:p>
    <w:p>
      <w:pPr>
        <w:pStyle w:val="2"/>
        <w:widowControl w:val="0"/>
        <w:spacing w:before="0" w:after="0" w:line="600" w:lineRule="exact"/>
        <w:ind w:left="0" w:leftChars="0" w:firstLine="0" w:firstLineChars="0"/>
        <w:jc w:val="center"/>
        <w:outlineLvl w:val="0"/>
        <w:rPr>
          <w:rFonts w:ascii="Times New Roman" w:hAnsi="Times New Roman" w:eastAsia="方正小标宋_GBK"/>
          <w:color w:val="auto"/>
          <w:spacing w:val="-14"/>
          <w:sz w:val="44"/>
          <w:szCs w:val="44"/>
          <w:lang w:val="en-US" w:eastAsia="zh-CN"/>
        </w:rPr>
      </w:pPr>
    </w:p>
    <w:p>
      <w:pPr>
        <w:pStyle w:val="2"/>
        <w:widowControl w:val="0"/>
        <w:spacing w:before="0" w:after="0" w:line="600" w:lineRule="exact"/>
        <w:ind w:left="0" w:leftChars="0" w:firstLine="0" w:firstLineChars="0"/>
        <w:jc w:val="both"/>
        <w:outlineLvl w:val="0"/>
        <w:rPr>
          <w:rFonts w:ascii="Times New Roman" w:hAnsi="Times New Roman" w:eastAsia="方正小标宋_GBK"/>
          <w:color w:val="auto"/>
          <w:spacing w:val="-14"/>
          <w:sz w:val="32"/>
          <w:szCs w:val="32"/>
          <w:lang w:val="en-US" w:eastAsia="zh-CN"/>
        </w:rPr>
      </w:pPr>
    </w:p>
    <w:p>
      <w:pPr>
        <w:pStyle w:val="2"/>
        <w:widowControl w:val="0"/>
        <w:spacing w:before="0" w:after="0" w:line="600" w:lineRule="exact"/>
        <w:ind w:left="0" w:leftChars="0" w:firstLine="0" w:firstLineChars="0"/>
        <w:jc w:val="center"/>
        <w:outlineLvl w:val="0"/>
        <w:rPr>
          <w:rFonts w:hint="eastAsia" w:ascii="Times New Roman" w:hAnsi="Times New Roman" w:eastAsia="方正小标宋_GBK"/>
          <w:color w:val="auto"/>
          <w:spacing w:val="-14"/>
          <w:sz w:val="44"/>
          <w:szCs w:val="44"/>
          <w:lang w:val="en-US" w:eastAsia="zh-CN"/>
        </w:rPr>
      </w:pPr>
      <w:bookmarkStart w:id="370" w:name="_Toc17438"/>
    </w:p>
    <w:p>
      <w:pPr>
        <w:pStyle w:val="2"/>
        <w:widowControl w:val="0"/>
        <w:spacing w:before="0" w:after="0" w:line="600" w:lineRule="exact"/>
        <w:ind w:left="0" w:leftChars="0" w:firstLine="0" w:firstLineChars="0"/>
        <w:jc w:val="center"/>
        <w:outlineLvl w:val="0"/>
        <w:rPr>
          <w:rFonts w:ascii="Times New Roman" w:hAnsi="Times New Roman" w:eastAsia="方正小标宋_GBK"/>
          <w:color w:val="auto"/>
          <w:spacing w:val="-14"/>
          <w:sz w:val="44"/>
          <w:szCs w:val="44"/>
          <w:lang w:val="en-US" w:eastAsia="zh-CN"/>
        </w:rPr>
      </w:pPr>
      <w:r>
        <w:rPr>
          <w:rFonts w:ascii="Times New Roman" w:hAnsi="Times New Roman" w:eastAsia="方正小标宋_GBK"/>
          <w:color w:val="auto"/>
          <w:spacing w:val="-14"/>
          <w:sz w:val="44"/>
          <w:szCs w:val="44"/>
          <w:lang w:val="en-US" w:eastAsia="zh-CN"/>
        </w:rPr>
        <w:t xml:space="preserve">第六部分  </w:t>
      </w:r>
      <w:r>
        <w:rPr>
          <w:rFonts w:ascii="Times New Roman" w:hAnsi="Times New Roman" w:eastAsia="方正小标宋_GBK"/>
          <w:spacing w:val="-14"/>
          <w:sz w:val="44"/>
          <w:szCs w:val="44"/>
          <w:lang w:val="en-US" w:eastAsia="zh-CN"/>
        </w:rPr>
        <w:t>黄河流域生态保护和高质量发展</w:t>
      </w:r>
      <w:bookmarkEnd w:id="370"/>
    </w:p>
    <w:p>
      <w:pPr>
        <w:spacing w:line="600" w:lineRule="exact"/>
        <w:rPr>
          <w:b/>
          <w:bCs/>
          <w:szCs w:val="32"/>
        </w:rPr>
      </w:pPr>
      <w:r>
        <w:rPr>
          <w:b/>
          <w:bCs/>
          <w:szCs w:val="32"/>
        </w:rPr>
        <w:t xml:space="preserve">    </w:t>
      </w:r>
    </w:p>
    <w:p>
      <w:pPr>
        <w:spacing w:line="580" w:lineRule="exact"/>
        <w:rPr>
          <w:szCs w:val="32"/>
        </w:rPr>
      </w:pPr>
      <w:r>
        <w:rPr>
          <w:b/>
          <w:bCs/>
          <w:szCs w:val="32"/>
        </w:rPr>
        <w:t xml:space="preserve">    </w:t>
      </w:r>
      <w:r>
        <w:rPr>
          <w:szCs w:val="32"/>
        </w:rPr>
        <w:t>为深入贯彻落实习近平总书记在黄河流域生态保护和高质量发展座谈会上的重要讲话精神，共同抓好大保护，协同推进大治理，立足黄河全流域和生态系统的整体性，谋划提出一批事关我区黄河流域生态保护和高质量发展全局的重大项目，为编制宁夏黄河流域生态保护和高质量发展规划、争取更多项目进入国家规划奠定基础。</w:t>
      </w:r>
    </w:p>
    <w:p>
      <w:pPr>
        <w:spacing w:line="580" w:lineRule="exact"/>
        <w:ind w:firstLine="640"/>
        <w:rPr>
          <w:rFonts w:eastAsia="黑体"/>
          <w:szCs w:val="32"/>
        </w:rPr>
      </w:pPr>
      <w:bookmarkStart w:id="371" w:name="_Toc32082"/>
      <w:r>
        <w:rPr>
          <w:rFonts w:eastAsia="黑体"/>
          <w:szCs w:val="32"/>
        </w:rPr>
        <w:t>一、生态环境</w:t>
      </w:r>
      <w:bookmarkEnd w:id="371"/>
    </w:p>
    <w:p>
      <w:pPr>
        <w:spacing w:line="580" w:lineRule="exact"/>
        <w:ind w:firstLine="640"/>
        <w:rPr>
          <w:szCs w:val="32"/>
        </w:rPr>
      </w:pPr>
      <w:r>
        <w:rPr>
          <w:szCs w:val="32"/>
        </w:rPr>
        <w:t>荒漠化综合治理、水源涵养提升、河湖生态修复、水土流失治理、湿地保护修复、流域水环境综合治理、黑臭水体治理、污染防治、城镇污水管网、污水处理再利用、矿井水处理及煤化工废水处理利用等领域项目。</w:t>
      </w:r>
    </w:p>
    <w:p>
      <w:pPr>
        <w:spacing w:line="580" w:lineRule="exact"/>
        <w:ind w:firstLine="640"/>
        <w:rPr>
          <w:rFonts w:eastAsia="黑体"/>
          <w:szCs w:val="32"/>
        </w:rPr>
      </w:pPr>
      <w:bookmarkStart w:id="372" w:name="_Toc17510"/>
      <w:r>
        <w:rPr>
          <w:rFonts w:eastAsia="黑体"/>
          <w:szCs w:val="32"/>
        </w:rPr>
        <w:t>二、保障黄河安全</w:t>
      </w:r>
      <w:bookmarkEnd w:id="372"/>
    </w:p>
    <w:p>
      <w:pPr>
        <w:spacing w:line="580" w:lineRule="exact"/>
        <w:ind w:firstLine="640"/>
        <w:rPr>
          <w:szCs w:val="32"/>
        </w:rPr>
      </w:pPr>
      <w:r>
        <w:rPr>
          <w:szCs w:val="32"/>
        </w:rPr>
        <w:t>黄河宁夏段综合治理、重点区域防洪、河道和滩区综合提升治理等领域项目。</w:t>
      </w:r>
    </w:p>
    <w:p>
      <w:pPr>
        <w:spacing w:line="580" w:lineRule="exact"/>
        <w:ind w:firstLine="642"/>
        <w:rPr>
          <w:rFonts w:eastAsia="黑体"/>
          <w:szCs w:val="32"/>
        </w:rPr>
      </w:pPr>
      <w:bookmarkStart w:id="373" w:name="_Toc29223"/>
      <w:r>
        <w:rPr>
          <w:rFonts w:eastAsia="黑体"/>
          <w:szCs w:val="32"/>
        </w:rPr>
        <w:t>三、水资源节约集约利用</w:t>
      </w:r>
      <w:bookmarkEnd w:id="373"/>
    </w:p>
    <w:p>
      <w:pPr>
        <w:spacing w:line="580" w:lineRule="exact"/>
        <w:ind w:firstLine="642"/>
        <w:rPr>
          <w:szCs w:val="32"/>
        </w:rPr>
      </w:pPr>
      <w:r>
        <w:rPr>
          <w:szCs w:val="32"/>
        </w:rPr>
        <w:t>农业节水、现代化灌区节水改造、城乡供水安全、扬水工程更新改造、集雨工程、蓄水提水工程建设、城市备用水源工程等领域项目。</w:t>
      </w:r>
      <w:bookmarkStart w:id="374" w:name="_Toc29850"/>
    </w:p>
    <w:p>
      <w:pPr>
        <w:numPr>
          <w:ilvl w:val="0"/>
          <w:numId w:val="4"/>
        </w:numPr>
        <w:spacing w:line="580" w:lineRule="exact"/>
        <w:ind w:firstLine="640"/>
        <w:rPr>
          <w:rFonts w:eastAsia="黑体"/>
          <w:szCs w:val="32"/>
        </w:rPr>
      </w:pPr>
      <w:r>
        <w:rPr>
          <w:rFonts w:eastAsia="黑体"/>
          <w:szCs w:val="32"/>
        </w:rPr>
        <w:t>高质量发展</w:t>
      </w:r>
      <w:bookmarkEnd w:id="374"/>
    </w:p>
    <w:p>
      <w:pPr>
        <w:spacing w:line="580" w:lineRule="exact"/>
        <w:rPr>
          <w:szCs w:val="32"/>
        </w:rPr>
      </w:pPr>
      <w:r>
        <w:rPr>
          <w:szCs w:val="32"/>
        </w:rPr>
        <w:t xml:space="preserve">    产业转型升级、区域中心城市及城镇基础设施建设、粮食安全、农产品质量提升、高标准农田建设、社会民生改善、共建“一带一路”等领域项目。</w:t>
      </w:r>
      <w:bookmarkStart w:id="375" w:name="_Toc19467"/>
    </w:p>
    <w:p>
      <w:pPr>
        <w:numPr>
          <w:ilvl w:val="0"/>
          <w:numId w:val="4"/>
        </w:numPr>
        <w:spacing w:line="580" w:lineRule="exact"/>
        <w:ind w:firstLine="640"/>
        <w:rPr>
          <w:rFonts w:eastAsia="黑体"/>
          <w:szCs w:val="32"/>
        </w:rPr>
      </w:pPr>
      <w:r>
        <w:rPr>
          <w:rFonts w:eastAsia="黑体"/>
          <w:szCs w:val="32"/>
        </w:rPr>
        <w:t>黄河文化</w:t>
      </w:r>
      <w:bookmarkEnd w:id="375"/>
    </w:p>
    <w:p>
      <w:pPr>
        <w:spacing w:line="580" w:lineRule="exact"/>
        <w:rPr>
          <w:szCs w:val="32"/>
        </w:rPr>
      </w:pPr>
      <w:r>
        <w:rPr>
          <w:szCs w:val="32"/>
        </w:rPr>
        <w:t xml:space="preserve">    深入挖掘黄河文化蕴含的时代价值，谋划黄河流域文物保护、特色水文化、非遗保护传承、黄河文化旅游带等领域项目。</w:t>
      </w:r>
    </w:p>
    <w:p>
      <w:pPr>
        <w:spacing w:line="580" w:lineRule="exact"/>
        <w:rPr>
          <w:szCs w:val="32"/>
        </w:rPr>
      </w:pPr>
      <w:r>
        <w:rPr>
          <w:szCs w:val="32"/>
        </w:rPr>
        <w:t xml:space="preserve">    黄河流域生态保护和高质量发展项目涵盖子项类别多、内容广，谋划项目要对接生态保护、基础设施、水资源、文化旅游、高质量发展等各专项项目管理办法，按照“谋划一批、深化一批、实施一批”的接续机制，新谋划提出一批重大项目。单个项目原则上投资不低于3000万元以上，工程体量大的项目可采取一次性规划，分期实施建设。</w:t>
      </w:r>
    </w:p>
    <w:p>
      <w:pPr>
        <w:spacing w:line="580" w:lineRule="exact"/>
        <w:ind w:firstLine="640"/>
        <w:rPr>
          <w:szCs w:val="32"/>
        </w:rPr>
      </w:pPr>
      <w:r>
        <w:rPr>
          <w:szCs w:val="32"/>
        </w:rPr>
        <w:t>针对有一定工作基础、部分条件成熟的项目，要加快推进项目前期，及早开展项目预可研编制，提出项目建设内容、匡算出投资计划，为尽早开工建设奠定基础。自治区发展改革委将根据各地各部门工作深化情况及经费申请，安排自治区预算内统筹投资对预可研编制相关前期工作给予支持。</w:t>
      </w:r>
    </w:p>
    <w:p>
      <w:pPr>
        <w:spacing w:line="580" w:lineRule="exact"/>
        <w:ind w:firstLine="640"/>
        <w:rPr>
          <w:szCs w:val="32"/>
        </w:rPr>
      </w:pPr>
    </w:p>
    <w:p>
      <w:pPr>
        <w:spacing w:line="600" w:lineRule="exact"/>
        <w:jc w:val="center"/>
        <w:outlineLvl w:val="0"/>
        <w:rPr>
          <w:rFonts w:eastAsia="方正小标宋_GBK"/>
          <w:sz w:val="44"/>
          <w:szCs w:val="44"/>
        </w:rPr>
      </w:pPr>
    </w:p>
    <w:p>
      <w:pPr>
        <w:pStyle w:val="2"/>
        <w:widowControl w:val="0"/>
        <w:ind w:left="640" w:firstLine="880"/>
        <w:rPr>
          <w:rFonts w:ascii="Times New Roman" w:hAnsi="Times New Roman" w:eastAsia="方正小标宋_GBK"/>
          <w:sz w:val="44"/>
          <w:szCs w:val="44"/>
          <w:lang w:val="en-US" w:eastAsia="zh-CN"/>
        </w:rPr>
      </w:pPr>
    </w:p>
    <w:p>
      <w:pPr>
        <w:pStyle w:val="2"/>
        <w:widowControl w:val="0"/>
        <w:ind w:left="0" w:leftChars="0" w:firstLine="0" w:firstLineChars="0"/>
        <w:rPr>
          <w:rFonts w:ascii="Times New Roman" w:hAnsi="Times New Roman" w:eastAsia="方正小标宋_GBK"/>
          <w:sz w:val="44"/>
          <w:szCs w:val="44"/>
          <w:lang w:val="en-US" w:eastAsia="zh-CN"/>
        </w:rPr>
      </w:pPr>
    </w:p>
    <w:p>
      <w:pPr>
        <w:spacing w:line="600" w:lineRule="exact"/>
        <w:jc w:val="center"/>
        <w:outlineLvl w:val="0"/>
        <w:rPr>
          <w:rFonts w:eastAsia="方正小标宋_GBK"/>
          <w:sz w:val="44"/>
          <w:szCs w:val="44"/>
        </w:rPr>
      </w:pPr>
      <w:bookmarkStart w:id="376" w:name="_Toc13908"/>
    </w:p>
    <w:p>
      <w:pPr>
        <w:spacing w:line="600" w:lineRule="exact"/>
        <w:jc w:val="center"/>
        <w:outlineLvl w:val="0"/>
        <w:rPr>
          <w:rFonts w:hint="eastAsia" w:eastAsia="方正小标宋_GBK"/>
          <w:sz w:val="44"/>
          <w:szCs w:val="44"/>
        </w:rPr>
      </w:pPr>
    </w:p>
    <w:p>
      <w:pPr>
        <w:spacing w:line="600" w:lineRule="exact"/>
        <w:jc w:val="center"/>
        <w:outlineLvl w:val="0"/>
        <w:rPr>
          <w:rFonts w:hint="eastAsia" w:eastAsia="方正小标宋_GBK"/>
          <w:sz w:val="44"/>
          <w:szCs w:val="44"/>
        </w:rPr>
      </w:pPr>
    </w:p>
    <w:p>
      <w:pPr>
        <w:spacing w:line="600" w:lineRule="exact"/>
        <w:jc w:val="center"/>
        <w:outlineLvl w:val="0"/>
        <w:rPr>
          <w:rFonts w:hint="eastAsia" w:eastAsia="方正小标宋_GBK"/>
          <w:sz w:val="44"/>
          <w:szCs w:val="44"/>
        </w:rPr>
      </w:pPr>
    </w:p>
    <w:p>
      <w:pPr>
        <w:spacing w:line="600" w:lineRule="exact"/>
        <w:jc w:val="center"/>
        <w:outlineLvl w:val="0"/>
        <w:rPr>
          <w:rFonts w:eastAsia="方正小标宋_GBK"/>
          <w:sz w:val="44"/>
          <w:szCs w:val="44"/>
        </w:rPr>
      </w:pPr>
      <w:r>
        <w:rPr>
          <w:rFonts w:eastAsia="方正小标宋_GBK"/>
          <w:sz w:val="44"/>
          <w:szCs w:val="44"/>
        </w:rPr>
        <w:t>第七部分  银川都市圈建设</w:t>
      </w:r>
      <w:bookmarkEnd w:id="376"/>
    </w:p>
    <w:p>
      <w:pPr>
        <w:spacing w:line="400" w:lineRule="exact"/>
        <w:rPr>
          <w:szCs w:val="32"/>
        </w:rPr>
      </w:pPr>
    </w:p>
    <w:p>
      <w:pPr>
        <w:spacing w:line="600" w:lineRule="exact"/>
        <w:ind w:firstLine="640"/>
        <w:rPr>
          <w:rFonts w:eastAsia="黑体"/>
          <w:color w:val="000000"/>
          <w:szCs w:val="32"/>
        </w:rPr>
      </w:pPr>
      <w:r>
        <w:rPr>
          <w:color w:val="000000"/>
          <w:szCs w:val="32"/>
        </w:rPr>
        <w:t>为认真贯彻习近平总书记在中央财经委员会第六次会议上的重要讲话精神，推动落实银川都市圈建设协同发展实施规划，结合国家政策导向、中央投资方向和自治区重大战略，围绕基础设施、产业协同、生态治理、公共服务等，谋划引领示范作用大、跨区域性强的重大项目，充实都市圈重大项目储备库，率先推进黄河“几”字弯都市圈宁夏重大节点建设工作。</w:t>
      </w:r>
    </w:p>
    <w:p>
      <w:pPr>
        <w:spacing w:line="600" w:lineRule="exact"/>
        <w:ind w:left="640"/>
        <w:outlineLvl w:val="1"/>
        <w:rPr>
          <w:rFonts w:eastAsia="黑体"/>
          <w:color w:val="000000"/>
          <w:szCs w:val="32"/>
        </w:rPr>
      </w:pPr>
      <w:bookmarkStart w:id="377" w:name="_Toc29232"/>
      <w:r>
        <w:rPr>
          <w:rFonts w:eastAsia="黑体"/>
          <w:color w:val="000000"/>
          <w:szCs w:val="32"/>
        </w:rPr>
        <w:t>一、基础设施联通</w:t>
      </w:r>
      <w:bookmarkEnd w:id="377"/>
    </w:p>
    <w:p>
      <w:pPr>
        <w:spacing w:line="600" w:lineRule="exact"/>
        <w:rPr>
          <w:color w:val="000000"/>
          <w:szCs w:val="32"/>
        </w:rPr>
      </w:pPr>
      <w:r>
        <w:rPr>
          <w:color w:val="000000"/>
          <w:szCs w:val="32"/>
        </w:rPr>
        <w:t xml:space="preserve">    国省干县扩建联通、跨河大桥建设、城市快速通道建设、城际铁路联通、城市综合交通枢纽建设、城际公交开通、公交站场建设、重大水利设施建设、河道整治改造、现代化灌区建设、城市燃气设施及管网联通、能源通道建设等。  </w:t>
      </w:r>
    </w:p>
    <w:p>
      <w:pPr>
        <w:spacing w:line="600" w:lineRule="exact"/>
        <w:ind w:left="640"/>
        <w:outlineLvl w:val="1"/>
        <w:rPr>
          <w:rFonts w:eastAsia="黑体"/>
          <w:color w:val="000000"/>
          <w:szCs w:val="32"/>
        </w:rPr>
      </w:pPr>
      <w:bookmarkStart w:id="378" w:name="_Toc14483"/>
      <w:r>
        <w:rPr>
          <w:rFonts w:eastAsia="黑体"/>
          <w:color w:val="000000"/>
          <w:szCs w:val="32"/>
        </w:rPr>
        <w:t>二、产业协同互补</w:t>
      </w:r>
      <w:bookmarkEnd w:id="378"/>
    </w:p>
    <w:p>
      <w:pPr>
        <w:spacing w:line="600" w:lineRule="exact"/>
        <w:rPr>
          <w:color w:val="000000"/>
          <w:szCs w:val="32"/>
        </w:rPr>
      </w:pPr>
      <w:r>
        <w:rPr>
          <w:color w:val="000000"/>
          <w:szCs w:val="32"/>
        </w:rPr>
        <w:t xml:space="preserve">    立足银川都市圈现有优势产业、资源禀赋、环境容量，围绕先进装备制造、新能源、新材料、化工、现代纺织等领域及宁东—马家滩—太阳山一体化建设谋划项目，推进产业互补协同发展。旅游核心区培育、沿长城、沿黄河、沿贺兰山东麓旅游带建设、现代物流园区建设、重点物流企业培育、农产品质量提升、科技创新平台建设等。</w:t>
      </w:r>
    </w:p>
    <w:p>
      <w:pPr>
        <w:spacing w:line="600" w:lineRule="exact"/>
        <w:outlineLvl w:val="1"/>
        <w:rPr>
          <w:rFonts w:eastAsia="黑体"/>
          <w:color w:val="000000"/>
          <w:szCs w:val="32"/>
        </w:rPr>
      </w:pPr>
      <w:r>
        <w:rPr>
          <w:rFonts w:eastAsia="黑体"/>
          <w:color w:val="000000"/>
          <w:szCs w:val="32"/>
        </w:rPr>
        <w:t xml:space="preserve">    </w:t>
      </w:r>
      <w:bookmarkStart w:id="379" w:name="_Toc9011"/>
      <w:r>
        <w:rPr>
          <w:rFonts w:eastAsia="黑体"/>
          <w:color w:val="000000"/>
          <w:szCs w:val="32"/>
        </w:rPr>
        <w:t>三、生态环境治理</w:t>
      </w:r>
      <w:bookmarkEnd w:id="379"/>
    </w:p>
    <w:p>
      <w:pPr>
        <w:spacing w:line="600" w:lineRule="exact"/>
        <w:ind w:firstLine="640"/>
        <w:rPr>
          <w:color w:val="000000"/>
          <w:szCs w:val="32"/>
        </w:rPr>
      </w:pPr>
      <w:r>
        <w:rPr>
          <w:color w:val="000000"/>
          <w:szCs w:val="32"/>
        </w:rPr>
        <w:t>统筹推进大气、水体、土壤治理，围绕跨区域清洁取暖、共建贺兰山国家公园、生态廊道建设、湿地保护及修复、黑臭水体治理及排污管网建设、固体废物综合利用、环境监测能力提升等。</w:t>
      </w:r>
    </w:p>
    <w:p>
      <w:pPr>
        <w:spacing w:line="600" w:lineRule="exact"/>
        <w:outlineLvl w:val="1"/>
        <w:rPr>
          <w:rFonts w:eastAsia="楷体_GB2312"/>
          <w:b/>
          <w:bCs/>
          <w:color w:val="000000"/>
          <w:szCs w:val="32"/>
        </w:rPr>
      </w:pPr>
      <w:r>
        <w:rPr>
          <w:rFonts w:eastAsia="楷体_GB2312"/>
          <w:b/>
          <w:bCs/>
          <w:color w:val="000000"/>
          <w:szCs w:val="32"/>
        </w:rPr>
        <w:t xml:space="preserve"> </w:t>
      </w:r>
      <w:r>
        <w:rPr>
          <w:rFonts w:eastAsia="黑体"/>
          <w:color w:val="000000"/>
          <w:szCs w:val="32"/>
        </w:rPr>
        <w:t xml:space="preserve">   </w:t>
      </w:r>
      <w:bookmarkStart w:id="380" w:name="_Toc26341"/>
      <w:r>
        <w:rPr>
          <w:rFonts w:eastAsia="黑体"/>
          <w:color w:val="000000"/>
          <w:szCs w:val="32"/>
        </w:rPr>
        <w:t>四、公共服务共享</w:t>
      </w:r>
      <w:bookmarkEnd w:id="380"/>
    </w:p>
    <w:p>
      <w:pPr>
        <w:spacing w:line="600" w:lineRule="exact"/>
        <w:ind w:firstLine="640"/>
        <w:rPr>
          <w:rFonts w:eastAsia="黑体"/>
          <w:color w:val="000000"/>
          <w:szCs w:val="32"/>
        </w:rPr>
      </w:pPr>
      <w:r>
        <w:rPr>
          <w:color w:val="000000"/>
          <w:szCs w:val="32"/>
        </w:rPr>
        <w:t>城市网络覆盖联通、智慧政府建设、信息服务惠民、数字经济提速、教育云平台升级、产教融合基地建设、高等教育综合能力、紧缺防护物资储备建设、重大传染病能力治疗提升、区域中心学科建设、远程医疗诊断、电子健康卡管理、融媒体建设、文化体育、就业与社保、养老服务体系等。</w:t>
      </w:r>
      <w:r>
        <w:rPr>
          <w:rFonts w:eastAsia="黑体"/>
          <w:color w:val="000000"/>
          <w:szCs w:val="32"/>
        </w:rPr>
        <w:t xml:space="preserve"> </w:t>
      </w:r>
    </w:p>
    <w:p>
      <w:pPr>
        <w:pStyle w:val="2"/>
        <w:widowControl w:val="0"/>
        <w:spacing w:before="0" w:after="0" w:line="60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以上项目除做好与相关专项资金的衔接外，可争取银川都市圈建设奖补资金和建设投资基金。项目投资</w:t>
      </w:r>
      <w:r>
        <w:rPr>
          <w:rFonts w:ascii="Times New Roman" w:hAnsi="Times New Roman" w:eastAsia="仿宋_GB2312"/>
          <w:sz w:val="32"/>
          <w:szCs w:val="32"/>
          <w:lang w:eastAsia="zh-CN"/>
        </w:rPr>
        <w:t>原则上不低于</w:t>
      </w:r>
      <w:r>
        <w:rPr>
          <w:rFonts w:ascii="Times New Roman" w:hAnsi="Times New Roman" w:eastAsia="仿宋_GB2312"/>
          <w:sz w:val="32"/>
          <w:szCs w:val="32"/>
          <w:lang w:val="en-US" w:eastAsia="zh-CN"/>
        </w:rPr>
        <w:t>3</w:t>
      </w:r>
      <w:r>
        <w:rPr>
          <w:rFonts w:ascii="Times New Roman" w:hAnsi="Times New Roman" w:eastAsia="仿宋_GB2312"/>
          <w:sz w:val="32"/>
          <w:szCs w:val="32"/>
          <w:lang w:eastAsia="zh-CN"/>
        </w:rPr>
        <w:t>000万元</w:t>
      </w:r>
      <w:r>
        <w:rPr>
          <w:rFonts w:ascii="Times New Roman" w:hAnsi="Times New Roman" w:eastAsia="仿宋_GB2312"/>
          <w:sz w:val="32"/>
          <w:szCs w:val="32"/>
          <w:lang w:val="en-US" w:eastAsia="zh-CN"/>
        </w:rPr>
        <w:t>，工程体量大的项目可采取一次性规划，分期实施建设。</w:t>
      </w:r>
    </w:p>
    <w:p>
      <w:pPr>
        <w:pStyle w:val="2"/>
        <w:widowControl w:val="0"/>
        <w:spacing w:before="0" w:after="0" w:line="60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银川都市圈建设奖补资金支持范围：交通水利、生态环保、能源通道、教育医疗等跨行政区域的重大基础设施和公共服务项目。分为基础奖补和激励奖补，其中基础奖补是项目纳入年度银川都市圈建设工作计划，总投资10亿元以下的补助1500万元，总投资10亿元以上的补助2500万元。激励奖补根据跨区域程度、工程进度、财政困难系数等因素综合测算。</w:t>
      </w:r>
    </w:p>
    <w:p>
      <w:pPr>
        <w:spacing w:line="600" w:lineRule="exact"/>
        <w:rPr>
          <w:szCs w:val="32"/>
        </w:rPr>
      </w:pPr>
      <w:r>
        <w:rPr>
          <w:szCs w:val="32"/>
        </w:rPr>
        <w:t xml:space="preserve">    银川都市圈建设投资基金支持范围：创新驱动和产业转型升级项目，主要聚焦于新能源、新材料、生物医药等产业。单个项目所投资金不超过本基金总资产的20%（本基金总规模40亿元）。</w:t>
      </w:r>
    </w:p>
    <w:p>
      <w:pPr>
        <w:spacing w:line="580" w:lineRule="exact"/>
        <w:outlineLvl w:val="0"/>
        <w:rPr>
          <w:rFonts w:eastAsia="方正小标宋_GBK"/>
          <w:sz w:val="44"/>
          <w:szCs w:val="44"/>
        </w:rPr>
      </w:pPr>
      <w:bookmarkStart w:id="381" w:name="_Toc6735"/>
    </w:p>
    <w:p>
      <w:pPr>
        <w:spacing w:line="580" w:lineRule="exact"/>
        <w:jc w:val="center"/>
        <w:outlineLvl w:val="0"/>
        <w:rPr>
          <w:rFonts w:eastAsia="方正小标宋_GBK"/>
          <w:sz w:val="44"/>
          <w:szCs w:val="44"/>
        </w:rPr>
      </w:pPr>
    </w:p>
    <w:p>
      <w:pPr>
        <w:spacing w:line="580" w:lineRule="exact"/>
        <w:jc w:val="center"/>
        <w:outlineLvl w:val="0"/>
        <w:rPr>
          <w:rFonts w:hint="eastAsia" w:eastAsia="方正小标宋_GBK"/>
          <w:sz w:val="44"/>
          <w:szCs w:val="44"/>
        </w:rPr>
      </w:pPr>
    </w:p>
    <w:p>
      <w:pPr>
        <w:spacing w:line="580" w:lineRule="exact"/>
        <w:jc w:val="center"/>
        <w:outlineLvl w:val="0"/>
        <w:rPr>
          <w:szCs w:val="32"/>
        </w:rPr>
      </w:pPr>
      <w:r>
        <w:rPr>
          <w:rFonts w:eastAsia="方正小标宋_GBK"/>
          <w:sz w:val="44"/>
          <w:szCs w:val="44"/>
        </w:rPr>
        <w:t>第八部分  老工业区改造提升工程</w:t>
      </w:r>
      <w:bookmarkEnd w:id="381"/>
    </w:p>
    <w:p>
      <w:pPr>
        <w:spacing w:line="580" w:lineRule="exact"/>
        <w:ind w:firstLine="640" w:firstLineChars="200"/>
        <w:rPr>
          <w:szCs w:val="32"/>
        </w:rPr>
      </w:pPr>
    </w:p>
    <w:p>
      <w:pPr>
        <w:spacing w:line="580" w:lineRule="exact"/>
        <w:ind w:firstLine="640" w:firstLineChars="200"/>
        <w:rPr>
          <w:szCs w:val="32"/>
        </w:rPr>
      </w:pPr>
      <w:r>
        <w:rPr>
          <w:szCs w:val="32"/>
        </w:rPr>
        <w:t>1.主要建设内容</w:t>
      </w:r>
    </w:p>
    <w:p>
      <w:pPr>
        <w:spacing w:line="580" w:lineRule="exact"/>
        <w:ind w:firstLine="640" w:firstLineChars="200"/>
        <w:rPr>
          <w:szCs w:val="32"/>
        </w:rPr>
      </w:pPr>
      <w:r>
        <w:rPr>
          <w:szCs w:val="32"/>
        </w:rPr>
        <w:t xml:space="preserve">主要是包括列入国家城区老工业区搬迁改造、重点采煤沉陷区综合治理、独立工矿区改造搬迁和宁夏东北部（石嘴山-宁东）产业转型升级示范区项目。 </w:t>
      </w:r>
    </w:p>
    <w:p>
      <w:pPr>
        <w:spacing w:line="580" w:lineRule="exact"/>
        <w:ind w:firstLine="640" w:firstLineChars="200"/>
        <w:rPr>
          <w:szCs w:val="32"/>
        </w:rPr>
      </w:pPr>
      <w:r>
        <w:rPr>
          <w:szCs w:val="32"/>
        </w:rPr>
        <w:t>2.支持方向</w:t>
      </w:r>
    </w:p>
    <w:p>
      <w:pPr>
        <w:spacing w:line="580" w:lineRule="exact"/>
        <w:ind w:firstLine="640" w:firstLineChars="200"/>
        <w:rPr>
          <w:szCs w:val="32"/>
        </w:rPr>
      </w:pPr>
      <w:r>
        <w:rPr>
          <w:szCs w:val="32"/>
        </w:rPr>
        <w:t>主要支持市政基础设施改造、企业环保搬迁改造、创新能力建设、老厂房改造和工业遗产保护、采煤沉陷区避险安置、生态修复、示范区重点园区公共服务平台和企业创新创业能力建设等</w:t>
      </w:r>
    </w:p>
    <w:p>
      <w:pPr>
        <w:spacing w:line="580" w:lineRule="exact"/>
        <w:ind w:firstLine="640" w:firstLineChars="200"/>
        <w:rPr>
          <w:szCs w:val="32"/>
        </w:rPr>
      </w:pPr>
      <w:r>
        <w:rPr>
          <w:szCs w:val="32"/>
        </w:rPr>
        <w:t>3.项目要求</w:t>
      </w:r>
    </w:p>
    <w:p>
      <w:pPr>
        <w:spacing w:line="580" w:lineRule="exact"/>
        <w:ind w:firstLine="640" w:firstLineChars="200"/>
        <w:rPr>
          <w:szCs w:val="32"/>
        </w:rPr>
      </w:pPr>
      <w:r>
        <w:rPr>
          <w:szCs w:val="32"/>
        </w:rPr>
        <w:t>项目必须是已开工项目或项目或前期工作已完成，项目资金下达后当年可开工项目，已完成投资不超过总投资的50%；项目单位没有列入失信联合惩戒对象名单；没有重复申请中央预算内投资。</w:t>
      </w:r>
    </w:p>
    <w:p>
      <w:pPr>
        <w:spacing w:line="580" w:lineRule="exact"/>
        <w:ind w:firstLine="640" w:firstLineChars="200"/>
        <w:rPr>
          <w:szCs w:val="32"/>
        </w:rPr>
      </w:pPr>
      <w:r>
        <w:rPr>
          <w:szCs w:val="32"/>
        </w:rPr>
        <w:t>4.实施年限</w:t>
      </w:r>
    </w:p>
    <w:p>
      <w:pPr>
        <w:spacing w:line="580" w:lineRule="exact"/>
        <w:ind w:firstLine="640" w:firstLineChars="200"/>
        <w:rPr>
          <w:szCs w:val="32"/>
        </w:rPr>
      </w:pPr>
      <w:r>
        <w:rPr>
          <w:szCs w:val="32"/>
        </w:rPr>
        <w:t>按照以上四个专项实施方案中年限为准，一般是三到五年。</w:t>
      </w:r>
    </w:p>
    <w:p>
      <w:pPr>
        <w:spacing w:line="580" w:lineRule="exact"/>
        <w:ind w:firstLine="640" w:firstLineChars="200"/>
        <w:rPr>
          <w:szCs w:val="32"/>
        </w:rPr>
      </w:pPr>
      <w:r>
        <w:rPr>
          <w:szCs w:val="32"/>
        </w:rPr>
        <w:t>5.投资来源</w:t>
      </w:r>
    </w:p>
    <w:p>
      <w:pPr>
        <w:spacing w:line="580" w:lineRule="exact"/>
        <w:ind w:firstLine="640" w:firstLineChars="200"/>
        <w:rPr>
          <w:szCs w:val="32"/>
        </w:rPr>
      </w:pPr>
      <w:r>
        <w:rPr>
          <w:szCs w:val="32"/>
        </w:rPr>
        <w:t>中央预算内投资按项目总投资的20%至30%予以补助支持，中央采取切块方式下达，单个项目最高不超过3000万元。</w:t>
      </w:r>
    </w:p>
    <w:p>
      <w:pPr>
        <w:pStyle w:val="2"/>
        <w:widowControl w:val="0"/>
        <w:spacing w:before="0" w:after="0" w:line="600" w:lineRule="exact"/>
        <w:ind w:left="0" w:leftChars="0" w:firstLine="0" w:firstLineChars="0"/>
        <w:rPr>
          <w:rFonts w:ascii="Times New Roman" w:hAnsi="Times New Roman" w:eastAsia="仿宋_GB2312"/>
          <w:color w:val="auto"/>
          <w:sz w:val="32"/>
          <w:szCs w:val="32"/>
          <w:lang w:val="en-US" w:eastAsia="zh-CN"/>
        </w:rPr>
      </w:pPr>
    </w:p>
    <w:p>
      <w:pPr>
        <w:spacing w:line="600" w:lineRule="exact"/>
        <w:jc w:val="center"/>
        <w:outlineLvl w:val="0"/>
        <w:rPr>
          <w:rFonts w:eastAsia="方正小标宋_GBK"/>
          <w:sz w:val="44"/>
          <w:szCs w:val="44"/>
        </w:rPr>
      </w:pPr>
    </w:p>
    <w:p>
      <w:pPr>
        <w:spacing w:line="600" w:lineRule="exact"/>
        <w:jc w:val="center"/>
        <w:outlineLvl w:val="0"/>
        <w:rPr>
          <w:rFonts w:eastAsia="方正小标宋_GBK"/>
          <w:sz w:val="44"/>
          <w:szCs w:val="44"/>
        </w:rPr>
      </w:pPr>
      <w:bookmarkStart w:id="382" w:name="_Toc10502"/>
    </w:p>
    <w:p>
      <w:pPr>
        <w:spacing w:line="600" w:lineRule="exact"/>
        <w:jc w:val="center"/>
        <w:outlineLvl w:val="0"/>
        <w:rPr>
          <w:rFonts w:hint="eastAsia" w:eastAsia="方正小标宋_GBK"/>
          <w:sz w:val="44"/>
          <w:szCs w:val="44"/>
        </w:rPr>
      </w:pPr>
    </w:p>
    <w:p>
      <w:pPr>
        <w:spacing w:line="600" w:lineRule="exact"/>
        <w:jc w:val="center"/>
        <w:outlineLvl w:val="0"/>
        <w:rPr>
          <w:rFonts w:eastAsia="方正小标宋_GBK"/>
          <w:sz w:val="44"/>
          <w:szCs w:val="44"/>
        </w:rPr>
      </w:pPr>
      <w:r>
        <w:rPr>
          <w:rFonts w:eastAsia="方正小标宋_GBK"/>
          <w:sz w:val="44"/>
          <w:szCs w:val="44"/>
        </w:rPr>
        <w:t>第九部分  交通基础设施</w:t>
      </w:r>
      <w:bookmarkEnd w:id="382"/>
    </w:p>
    <w:p>
      <w:pPr>
        <w:spacing w:line="600" w:lineRule="exact"/>
        <w:ind w:firstLine="640" w:firstLineChars="200"/>
        <w:jc w:val="left"/>
        <w:rPr>
          <w:szCs w:val="32"/>
        </w:rPr>
      </w:pPr>
    </w:p>
    <w:p>
      <w:pPr>
        <w:spacing w:line="600" w:lineRule="exact"/>
        <w:ind w:firstLine="640" w:firstLineChars="200"/>
        <w:jc w:val="left"/>
        <w:outlineLvl w:val="1"/>
        <w:rPr>
          <w:rFonts w:eastAsia="黑体"/>
          <w:szCs w:val="32"/>
        </w:rPr>
      </w:pPr>
      <w:bookmarkStart w:id="383" w:name="_Toc21682"/>
      <w:r>
        <w:rPr>
          <w:rFonts w:eastAsia="黑体"/>
          <w:szCs w:val="32"/>
        </w:rPr>
        <w:t>一、铁路专用线</w:t>
      </w:r>
      <w:bookmarkEnd w:id="383"/>
    </w:p>
    <w:p>
      <w:pPr>
        <w:spacing w:line="600" w:lineRule="exact"/>
        <w:ind w:firstLine="640" w:firstLineChars="200"/>
        <w:jc w:val="left"/>
        <w:rPr>
          <w:szCs w:val="32"/>
        </w:rPr>
      </w:pPr>
      <w:r>
        <w:rPr>
          <w:szCs w:val="32"/>
        </w:rPr>
        <w:t>为贯彻落实国家“公转铁”要求，完成我区“公转铁”任务，鼓励大型工矿企业、工业园区、物流基地等修建铁路专用线，与国铁或宁东铁路接轨，解决企业“最后一公里”运输问题，降低运输成本、提高运输效率和企业效益。</w:t>
      </w:r>
    </w:p>
    <w:p>
      <w:pPr>
        <w:spacing w:line="600" w:lineRule="exact"/>
        <w:ind w:firstLine="640" w:firstLineChars="200"/>
        <w:jc w:val="left"/>
        <w:rPr>
          <w:szCs w:val="32"/>
        </w:rPr>
      </w:pPr>
      <w:r>
        <w:rPr>
          <w:szCs w:val="32"/>
        </w:rPr>
        <w:t>项目由企业谋划提出，资金为企业自筹解决，企业可自行或聘请有资质的设计单位编制申请报告，报自治区发展改革委核准。核准前需办理的前置要件包括：核准申请文件、土地预审意见和规划选址意见书、兰州铁路局或宁东铁路公司出具的接轨意见，自治区发展改革委组织专家审查，申请企业按专家意见修改完善申请报告后，自治区发展改革委在4个工作日内核准项目。</w:t>
      </w:r>
    </w:p>
    <w:p>
      <w:pPr>
        <w:spacing w:line="600" w:lineRule="exact"/>
        <w:ind w:firstLine="640" w:firstLineChars="200"/>
        <w:jc w:val="left"/>
        <w:outlineLvl w:val="1"/>
        <w:rPr>
          <w:rFonts w:eastAsia="黑体"/>
          <w:szCs w:val="32"/>
        </w:rPr>
      </w:pPr>
      <w:bookmarkStart w:id="384" w:name="_Toc4649"/>
      <w:r>
        <w:rPr>
          <w:rFonts w:eastAsia="黑体"/>
          <w:szCs w:val="32"/>
        </w:rPr>
        <w:t>二、公路领域</w:t>
      </w:r>
      <w:bookmarkEnd w:id="384"/>
    </w:p>
    <w:p>
      <w:pPr>
        <w:spacing w:line="600" w:lineRule="exact"/>
        <w:ind w:firstLine="640" w:firstLineChars="200"/>
        <w:jc w:val="left"/>
        <w:outlineLvl w:val="2"/>
        <w:rPr>
          <w:rFonts w:eastAsia="楷体"/>
          <w:szCs w:val="32"/>
        </w:rPr>
      </w:pPr>
      <w:bookmarkStart w:id="385" w:name="_Toc127"/>
      <w:r>
        <w:rPr>
          <w:rFonts w:eastAsia="楷体"/>
          <w:szCs w:val="32"/>
        </w:rPr>
        <w:t>（一）高速公路</w:t>
      </w:r>
      <w:bookmarkEnd w:id="385"/>
    </w:p>
    <w:p>
      <w:pPr>
        <w:spacing w:line="600" w:lineRule="exact"/>
        <w:ind w:firstLine="640" w:firstLineChars="200"/>
        <w:jc w:val="left"/>
        <w:rPr>
          <w:szCs w:val="32"/>
        </w:rPr>
      </w:pPr>
      <w:r>
        <w:rPr>
          <w:szCs w:val="32"/>
        </w:rPr>
        <w:t>高速公路分为国家高速公路和地方高速公路，国家高速公路项目需按照《国家公路网规划（2013-2030年）》组织实施，地方高速公路项目需按照《自治区省道网布局规划（2013-2030年）》组织实施。我区高速公路的建管养运投融已全部移交自治区交通投资集团，自治区交投集团根据交通量、融资情况提出国高及地高建设时序，按计划推进。</w:t>
      </w:r>
    </w:p>
    <w:p>
      <w:pPr>
        <w:spacing w:line="600" w:lineRule="exact"/>
        <w:ind w:firstLine="640" w:firstLineChars="200"/>
        <w:jc w:val="left"/>
        <w:rPr>
          <w:szCs w:val="32"/>
        </w:rPr>
      </w:pPr>
      <w:r>
        <w:rPr>
          <w:szCs w:val="32"/>
        </w:rPr>
        <w:t>高速公路审批（核准）权限在自治区，由自治区交投集团明确项目融资方式，若政府投资以资本金形式注入，则实行审批制，若政府投资以补助形式注入，则实行核准制。实行审批制的高速公路项目已全部纳入《国家公路网规划（2013-2030年）》或《自治区省道网布局规划（2013-2030年）》，项目可直接从可研报告开始审批。审批或核准所需的前置要件包括：土地预审意见和规划选址意见书，审批时限15个工作日，核准时限4个工作日。</w:t>
      </w:r>
    </w:p>
    <w:p>
      <w:pPr>
        <w:spacing w:line="600" w:lineRule="exact"/>
        <w:ind w:firstLine="640" w:firstLineChars="200"/>
        <w:jc w:val="left"/>
        <w:outlineLvl w:val="2"/>
        <w:rPr>
          <w:rFonts w:eastAsia="楷体"/>
          <w:szCs w:val="32"/>
        </w:rPr>
      </w:pPr>
      <w:bookmarkStart w:id="386" w:name="_Toc18619"/>
      <w:r>
        <w:rPr>
          <w:rFonts w:eastAsia="楷体"/>
          <w:szCs w:val="32"/>
        </w:rPr>
        <w:t>（二）普通国道</w:t>
      </w:r>
      <w:bookmarkEnd w:id="386"/>
    </w:p>
    <w:p>
      <w:pPr>
        <w:spacing w:line="600" w:lineRule="exact"/>
        <w:ind w:firstLine="640" w:firstLineChars="200"/>
        <w:jc w:val="left"/>
        <w:rPr>
          <w:szCs w:val="32"/>
        </w:rPr>
      </w:pPr>
      <w:r>
        <w:rPr>
          <w:szCs w:val="32"/>
        </w:rPr>
        <w:t>普通国道项目的财政事权在自治区，由自治区交通运输厅根据《国家公路网规划（2013-2030年）》组织实施。目前我区已形</w:t>
      </w:r>
      <w:r>
        <w:rPr>
          <w:spacing w:val="-4"/>
          <w:szCs w:val="32"/>
        </w:rPr>
        <w:t>成12条普通国道的布局，国道项目主要集中在超期服役路段提升改造、城市过境拥堵路段改线。国道项目可申请交通运输部车购税补助资金，剩余资金由自治区交通运输厅通过财政性资金解决。</w:t>
      </w:r>
    </w:p>
    <w:p>
      <w:pPr>
        <w:spacing w:line="600" w:lineRule="exact"/>
        <w:ind w:firstLine="640" w:firstLineChars="200"/>
        <w:jc w:val="left"/>
        <w:rPr>
          <w:szCs w:val="32"/>
        </w:rPr>
      </w:pPr>
      <w:r>
        <w:rPr>
          <w:szCs w:val="32"/>
        </w:rPr>
        <w:t>国道项目审批权限在自治区发展改革委，项目可从可研报告开始审批，审批所需的前置要件包括：土地预审意见和规划选址意见书及自治区财政厅出具的使用财政性资金意见。</w:t>
      </w:r>
    </w:p>
    <w:p>
      <w:pPr>
        <w:spacing w:line="600" w:lineRule="exact"/>
        <w:ind w:firstLine="640" w:firstLineChars="200"/>
        <w:jc w:val="left"/>
        <w:outlineLvl w:val="2"/>
        <w:rPr>
          <w:rFonts w:eastAsia="楷体"/>
          <w:szCs w:val="32"/>
        </w:rPr>
      </w:pPr>
      <w:bookmarkStart w:id="387" w:name="_Toc24573"/>
      <w:r>
        <w:rPr>
          <w:rFonts w:eastAsia="楷体"/>
          <w:szCs w:val="32"/>
        </w:rPr>
        <w:t>（三）普通省道</w:t>
      </w:r>
      <w:bookmarkEnd w:id="387"/>
    </w:p>
    <w:p>
      <w:pPr>
        <w:spacing w:line="600" w:lineRule="exact"/>
        <w:ind w:firstLine="640" w:firstLineChars="200"/>
        <w:jc w:val="left"/>
        <w:rPr>
          <w:szCs w:val="32"/>
        </w:rPr>
      </w:pPr>
      <w:r>
        <w:rPr>
          <w:szCs w:val="32"/>
        </w:rPr>
        <w:t>普通省道的财政事权为自治区和市县共同承担，建设以自治区为主，管理养护以市县为主，对于有建设积极性且建设资金落实的市县也可以组织建设省道项目。我区22条普通省道格局已形成，项目主要为超期服役路段提升改造、城市过境拥堵路段改线。省道项目全部由财政性资金解决。</w:t>
      </w:r>
    </w:p>
    <w:p>
      <w:pPr>
        <w:spacing w:line="600" w:lineRule="exact"/>
        <w:ind w:firstLine="640" w:firstLineChars="200"/>
        <w:jc w:val="left"/>
        <w:rPr>
          <w:szCs w:val="32"/>
        </w:rPr>
      </w:pPr>
      <w:r>
        <w:rPr>
          <w:szCs w:val="32"/>
        </w:rPr>
        <w:t>省道项目审批权限在地级市，自治区交通运输厅实施的省道项目由自治区发展改革委审批，项目可从可研报告开始审批，审批所需的前置要件包括：土地预审意见和规划选址意见书及自治区财政厅出具的使用财政性资金意见。</w:t>
      </w:r>
    </w:p>
    <w:p>
      <w:pPr>
        <w:spacing w:line="600" w:lineRule="exact"/>
        <w:ind w:firstLine="640" w:firstLineChars="200"/>
        <w:jc w:val="left"/>
        <w:outlineLvl w:val="2"/>
        <w:rPr>
          <w:rFonts w:eastAsia="楷体"/>
          <w:szCs w:val="32"/>
        </w:rPr>
      </w:pPr>
      <w:bookmarkStart w:id="388" w:name="_Toc3401"/>
      <w:r>
        <w:rPr>
          <w:rFonts w:eastAsia="楷体"/>
          <w:szCs w:val="32"/>
        </w:rPr>
        <w:t>（四）农村公路</w:t>
      </w:r>
      <w:bookmarkEnd w:id="388"/>
    </w:p>
    <w:p>
      <w:pPr>
        <w:spacing w:line="600" w:lineRule="exact"/>
        <w:ind w:firstLine="640" w:firstLineChars="200"/>
        <w:jc w:val="left"/>
        <w:rPr>
          <w:szCs w:val="32"/>
        </w:rPr>
      </w:pPr>
      <w:r>
        <w:rPr>
          <w:szCs w:val="32"/>
        </w:rPr>
        <w:t>农村公路财政事权在市县，由市县谋划实施，由自治区交通运输厅申请交通运输部车购税补助资金给予支持。2018年我区已完成建制村通硬化路任务，各市县应在窄路加宽、解决人口较多的自然村通达等方向谋划农村公路项目。</w:t>
      </w:r>
    </w:p>
    <w:p>
      <w:pPr>
        <w:spacing w:line="600" w:lineRule="exact"/>
        <w:ind w:firstLine="640" w:firstLineChars="200"/>
        <w:jc w:val="left"/>
        <w:rPr>
          <w:szCs w:val="32"/>
        </w:rPr>
      </w:pPr>
      <w:r>
        <w:rPr>
          <w:szCs w:val="32"/>
        </w:rPr>
        <w:t>农村公路项目审批权限在地级市，审批所需的前置要件包括：土地预审意见和规划选址意见书。</w:t>
      </w:r>
    </w:p>
    <w:p>
      <w:pPr>
        <w:spacing w:line="600" w:lineRule="exact"/>
        <w:ind w:firstLine="640" w:firstLineChars="200"/>
        <w:jc w:val="left"/>
        <w:outlineLvl w:val="2"/>
        <w:rPr>
          <w:rFonts w:eastAsia="楷体"/>
          <w:szCs w:val="32"/>
        </w:rPr>
      </w:pPr>
      <w:bookmarkStart w:id="389" w:name="_Toc9049"/>
      <w:r>
        <w:rPr>
          <w:rFonts w:eastAsia="楷体"/>
          <w:szCs w:val="32"/>
        </w:rPr>
        <w:t>（五）乡村旅游公路</w:t>
      </w:r>
      <w:bookmarkEnd w:id="389"/>
    </w:p>
    <w:p>
      <w:pPr>
        <w:spacing w:line="600" w:lineRule="exact"/>
        <w:ind w:firstLine="640" w:firstLineChars="200"/>
        <w:jc w:val="left"/>
        <w:rPr>
          <w:szCs w:val="32"/>
        </w:rPr>
      </w:pPr>
      <w:r>
        <w:rPr>
          <w:szCs w:val="32"/>
        </w:rPr>
        <w:t>国家发展改革委每年安排中央预算内补助资金支持乡村旅游公路项目建设，支持范围为六盘山集中连片特困7县区（原州区、西吉县、隆德县、彭阳县、泾源县、同心县、海原县）的三、四级公路，项目应当位于4A级及以上景区50公里范围内，并能够连接通往景区的主干路，补助标准在160万元/公里和总造价的70%之中取低值，配套资金全部由自治区发展改革委安排自治区预算内统筹资金支持。乡村旅游公路审批权限与所需前置要件与农村公路一致。</w:t>
      </w:r>
    </w:p>
    <w:p>
      <w:pPr>
        <w:spacing w:line="600" w:lineRule="exact"/>
        <w:ind w:firstLine="640" w:firstLineChars="200"/>
        <w:jc w:val="left"/>
        <w:outlineLvl w:val="1"/>
        <w:rPr>
          <w:rFonts w:eastAsia="黑体"/>
          <w:szCs w:val="32"/>
        </w:rPr>
      </w:pPr>
      <w:bookmarkStart w:id="390" w:name="_Toc25021"/>
      <w:r>
        <w:rPr>
          <w:rFonts w:eastAsia="黑体"/>
          <w:szCs w:val="32"/>
        </w:rPr>
        <w:t>三、综合交通枢纽</w:t>
      </w:r>
      <w:bookmarkEnd w:id="390"/>
    </w:p>
    <w:p>
      <w:pPr>
        <w:spacing w:line="600" w:lineRule="exact"/>
        <w:ind w:firstLine="640" w:firstLineChars="200"/>
        <w:jc w:val="left"/>
        <w:rPr>
          <w:szCs w:val="32"/>
        </w:rPr>
      </w:pPr>
      <w:r>
        <w:rPr>
          <w:szCs w:val="32"/>
        </w:rPr>
        <w:t>自治区第十二届八次全会中提出要把“铁公机”网起来，构建便捷通畅的综合交通体系。各地应加快谋划综合交通枢纽项目，发挥不同交通方式的比较优势，形成无缝衔接、零距离换乘的便捷交通体系。各地在机场、火车站、客运站等重要枢纽可谋划综合交通枢纽项目。交通运输部对不同级别的综合枢纽及客运站给予车购税补助，补助标准为：一体化综合客运枢纽5000万元，非一体化综合客运枢纽3500万元，地市级一级客运站2500万元、二级客运站1200万元，县级二级及以上客运站1000万元、三级客运站600万元。</w:t>
      </w:r>
    </w:p>
    <w:p>
      <w:pPr>
        <w:pStyle w:val="2"/>
        <w:widowControl w:val="0"/>
        <w:spacing w:before="0" w:after="0" w:line="600" w:lineRule="exact"/>
        <w:ind w:left="0" w:leftChars="0" w:firstLine="640"/>
        <w:rPr>
          <w:rFonts w:ascii="Times New Roman" w:hAnsi="Times New Roman"/>
          <w:lang w:eastAsia="zh-CN"/>
        </w:rPr>
      </w:pPr>
      <w:r>
        <w:rPr>
          <w:rFonts w:ascii="Times New Roman" w:hAnsi="Times New Roman" w:eastAsia="仿宋_GB2312"/>
          <w:sz w:val="32"/>
          <w:szCs w:val="32"/>
          <w:lang w:val="en-US" w:eastAsia="zh-CN"/>
        </w:rPr>
        <w:t>综合交通枢纽项目按照“谁投资、谁审批”的原则进行审批，审批所需的前置要件包括：土地预审意见和规划选址意见书。</w:t>
      </w:r>
    </w:p>
    <w:p>
      <w:pPr>
        <w:spacing w:line="600" w:lineRule="exact"/>
        <w:jc w:val="left"/>
        <w:outlineLvl w:val="1"/>
        <w:rPr>
          <w:rFonts w:eastAsia="黑体"/>
          <w:szCs w:val="32"/>
        </w:rPr>
      </w:pPr>
      <w:r>
        <w:rPr>
          <w:rFonts w:eastAsia="黑体"/>
          <w:szCs w:val="32"/>
        </w:rPr>
        <w:t xml:space="preserve">    </w:t>
      </w:r>
      <w:bookmarkStart w:id="391" w:name="_Toc21894"/>
      <w:r>
        <w:rPr>
          <w:rFonts w:eastAsia="黑体"/>
          <w:szCs w:val="32"/>
        </w:rPr>
        <w:t>四、城市停车场</w:t>
      </w:r>
      <w:bookmarkEnd w:id="391"/>
    </w:p>
    <w:p>
      <w:pPr>
        <w:spacing w:line="600" w:lineRule="exact"/>
        <w:ind w:firstLine="640" w:firstLineChars="200"/>
        <w:jc w:val="left"/>
        <w:rPr>
          <w:szCs w:val="32"/>
        </w:rPr>
      </w:pPr>
      <w:r>
        <w:rPr>
          <w:szCs w:val="32"/>
        </w:rPr>
        <w:t>自治区政府工作报告中提出实施停车场等市政补短板项目，各市县区可根据实际情况谋划停车场项目，缓解城市停车紧张、停车难问题。国家发展改革委对符合条件的单独立项的收费停车场可列入专项债项目清单，申报专项债的项目需在国家重大项目库中录入，项目所在市县若不属于债务红色预警地区，则可由自治区财政厅统筹安排专项债予以支持。</w:t>
      </w:r>
    </w:p>
    <w:p>
      <w:pPr>
        <w:spacing w:line="600" w:lineRule="exact"/>
        <w:ind w:firstLine="640" w:firstLineChars="200"/>
        <w:jc w:val="left"/>
        <w:rPr>
          <w:szCs w:val="32"/>
        </w:rPr>
      </w:pPr>
      <w:r>
        <w:rPr>
          <w:szCs w:val="32"/>
        </w:rPr>
        <w:t>城市停车场项目按照“谁投资、谁审批”的原则进行审批，审批所需的前置要件包括：土地预审意见和规划选址意见书。</w:t>
      </w:r>
    </w:p>
    <w:p>
      <w:pPr>
        <w:pStyle w:val="2"/>
        <w:widowControl w:val="0"/>
        <w:spacing w:before="0" w:after="0" w:line="600" w:lineRule="exact"/>
        <w:ind w:left="0" w:leftChars="0" w:firstLine="0" w:firstLineChars="0"/>
        <w:jc w:val="center"/>
        <w:outlineLvl w:val="0"/>
        <w:rPr>
          <w:rFonts w:ascii="Times New Roman" w:hAnsi="Times New Roman" w:eastAsia="方正小标宋_GBK"/>
          <w:sz w:val="44"/>
          <w:szCs w:val="44"/>
          <w:lang w:val="en-US" w:eastAsia="zh-CN"/>
        </w:rPr>
      </w:pPr>
    </w:p>
    <w:p>
      <w:pPr>
        <w:pStyle w:val="2"/>
        <w:widowControl w:val="0"/>
        <w:spacing w:before="0" w:after="0" w:line="600" w:lineRule="exact"/>
        <w:ind w:left="0" w:leftChars="0" w:firstLine="0" w:firstLineChars="0"/>
        <w:jc w:val="center"/>
        <w:outlineLvl w:val="0"/>
        <w:rPr>
          <w:rFonts w:ascii="Times New Roman" w:hAnsi="Times New Roman" w:eastAsia="方正小标宋_GBK"/>
          <w:sz w:val="44"/>
          <w:szCs w:val="44"/>
          <w:lang w:val="en-US" w:eastAsia="zh-CN"/>
        </w:rPr>
      </w:pPr>
    </w:p>
    <w:p>
      <w:pPr>
        <w:pStyle w:val="2"/>
        <w:widowControl w:val="0"/>
        <w:spacing w:before="0" w:after="0" w:line="600" w:lineRule="exact"/>
        <w:ind w:left="0" w:leftChars="0" w:firstLine="0" w:firstLineChars="0"/>
        <w:jc w:val="center"/>
        <w:outlineLvl w:val="0"/>
        <w:rPr>
          <w:rFonts w:hint="eastAsia" w:ascii="Times New Roman" w:hAnsi="Times New Roman" w:eastAsia="方正小标宋_GBK"/>
          <w:sz w:val="44"/>
          <w:szCs w:val="44"/>
          <w:lang w:val="en-US" w:eastAsia="zh-CN"/>
        </w:rPr>
      </w:pPr>
    </w:p>
    <w:p>
      <w:pPr>
        <w:pStyle w:val="2"/>
        <w:widowControl w:val="0"/>
        <w:spacing w:before="0" w:after="0" w:line="600" w:lineRule="exact"/>
        <w:ind w:left="0" w:leftChars="0" w:firstLine="0" w:firstLineChars="0"/>
        <w:jc w:val="center"/>
        <w:outlineLvl w:val="0"/>
        <w:rPr>
          <w:rFonts w:hint="eastAsia" w:ascii="Times New Roman" w:hAnsi="Times New Roman" w:eastAsia="方正小标宋_GBK"/>
          <w:sz w:val="44"/>
          <w:szCs w:val="44"/>
          <w:lang w:val="en-US" w:eastAsia="zh-CN"/>
        </w:rPr>
      </w:pPr>
    </w:p>
    <w:p>
      <w:pPr>
        <w:pStyle w:val="2"/>
        <w:widowControl w:val="0"/>
        <w:spacing w:before="0" w:after="0" w:line="600" w:lineRule="exact"/>
        <w:ind w:left="0" w:leftChars="0" w:firstLine="0" w:firstLineChars="0"/>
        <w:jc w:val="center"/>
        <w:outlineLvl w:val="0"/>
        <w:rPr>
          <w:rFonts w:hint="eastAsia" w:ascii="Times New Roman" w:hAnsi="Times New Roman" w:eastAsia="方正小标宋_GBK"/>
          <w:sz w:val="44"/>
          <w:szCs w:val="44"/>
          <w:lang w:val="en-US" w:eastAsia="zh-CN"/>
        </w:rPr>
      </w:pPr>
      <w:bookmarkStart w:id="392" w:name="_Toc6979"/>
    </w:p>
    <w:p>
      <w:pPr>
        <w:pStyle w:val="2"/>
        <w:widowControl w:val="0"/>
        <w:spacing w:before="0" w:after="0" w:line="600" w:lineRule="exact"/>
        <w:ind w:left="0" w:leftChars="0" w:firstLine="0" w:firstLineChars="0"/>
        <w:jc w:val="center"/>
        <w:outlineLvl w:val="0"/>
        <w:rPr>
          <w:rFonts w:hint="eastAsia" w:ascii="Times New Roman" w:hAnsi="Times New Roman" w:eastAsia="方正小标宋_GBK"/>
          <w:sz w:val="44"/>
          <w:szCs w:val="44"/>
          <w:lang w:val="en-US" w:eastAsia="zh-CN"/>
        </w:rPr>
      </w:pPr>
    </w:p>
    <w:p>
      <w:pPr>
        <w:pStyle w:val="2"/>
        <w:widowControl w:val="0"/>
        <w:spacing w:before="0" w:after="0" w:line="600" w:lineRule="exact"/>
        <w:ind w:left="0" w:leftChars="0" w:firstLine="0" w:firstLineChars="0"/>
        <w:jc w:val="center"/>
        <w:outlineLvl w:val="0"/>
        <w:rPr>
          <w:rFonts w:hint="eastAsia" w:ascii="Times New Roman" w:hAnsi="Times New Roman" w:eastAsia="方正小标宋_GBK"/>
          <w:sz w:val="44"/>
          <w:szCs w:val="44"/>
          <w:lang w:val="en-US" w:eastAsia="zh-CN"/>
        </w:rPr>
      </w:pPr>
    </w:p>
    <w:p>
      <w:pPr>
        <w:pStyle w:val="2"/>
        <w:widowControl w:val="0"/>
        <w:spacing w:before="0" w:after="0" w:line="600" w:lineRule="exact"/>
        <w:ind w:left="0" w:leftChars="0" w:firstLine="0" w:firstLineChars="0"/>
        <w:jc w:val="center"/>
        <w:outlineLvl w:val="0"/>
        <w:rPr>
          <w:rFonts w:hint="eastAsia" w:ascii="Times New Roman" w:hAnsi="Times New Roman" w:eastAsia="方正小标宋_GBK"/>
          <w:sz w:val="44"/>
          <w:szCs w:val="44"/>
          <w:lang w:val="en-US" w:eastAsia="zh-CN"/>
        </w:rPr>
      </w:pPr>
    </w:p>
    <w:p>
      <w:pPr>
        <w:pStyle w:val="2"/>
        <w:widowControl w:val="0"/>
        <w:spacing w:before="0" w:after="0" w:line="600" w:lineRule="exact"/>
        <w:ind w:left="0" w:leftChars="0" w:firstLine="0" w:firstLineChars="0"/>
        <w:jc w:val="center"/>
        <w:outlineLvl w:val="0"/>
        <w:rPr>
          <w:rFonts w:ascii="Times New Roman" w:hAnsi="Times New Roman" w:eastAsia="方正小标宋_GBK"/>
          <w:sz w:val="44"/>
          <w:szCs w:val="44"/>
          <w:lang w:val="en-US" w:eastAsia="zh-CN"/>
        </w:rPr>
      </w:pPr>
      <w:r>
        <w:rPr>
          <w:rFonts w:ascii="Times New Roman" w:hAnsi="Times New Roman" w:eastAsia="方正小标宋_GBK"/>
          <w:sz w:val="44"/>
          <w:szCs w:val="44"/>
          <w:lang w:val="en-US" w:eastAsia="zh-CN"/>
        </w:rPr>
        <w:t>第十部分  农林水利</w:t>
      </w:r>
      <w:bookmarkEnd w:id="1"/>
      <w:bookmarkEnd w:id="2"/>
      <w:bookmarkEnd w:id="3"/>
      <w:bookmarkEnd w:id="4"/>
      <w:bookmarkEnd w:id="5"/>
      <w:bookmarkEnd w:id="6"/>
      <w:bookmarkEnd w:id="7"/>
      <w:bookmarkEnd w:id="8"/>
      <w:bookmarkEnd w:id="9"/>
      <w:r>
        <w:rPr>
          <w:rFonts w:ascii="Times New Roman" w:hAnsi="Times New Roman" w:eastAsia="方正小标宋_GBK"/>
          <w:sz w:val="44"/>
          <w:szCs w:val="44"/>
          <w:lang w:val="en-US" w:eastAsia="zh-CN"/>
        </w:rPr>
        <w:t>基础设施</w:t>
      </w:r>
      <w:bookmarkEnd w:id="392"/>
    </w:p>
    <w:p>
      <w:pPr>
        <w:pStyle w:val="2"/>
        <w:widowControl w:val="0"/>
        <w:spacing w:before="0" w:after="0" w:line="600" w:lineRule="exact"/>
        <w:ind w:left="0" w:leftChars="0" w:firstLine="0" w:firstLineChars="0"/>
        <w:jc w:val="both"/>
        <w:rPr>
          <w:rFonts w:ascii="Times New Roman" w:hAnsi="Times New Roman" w:eastAsia="仿宋_GB2312"/>
          <w:sz w:val="32"/>
          <w:szCs w:val="32"/>
          <w:lang w:val="en-US" w:eastAsia="zh-CN"/>
        </w:rPr>
      </w:pPr>
    </w:p>
    <w:p>
      <w:pPr>
        <w:numPr>
          <w:ilvl w:val="0"/>
          <w:numId w:val="5"/>
        </w:numPr>
        <w:spacing w:line="580" w:lineRule="exact"/>
        <w:ind w:firstLine="640" w:firstLineChars="200"/>
        <w:outlineLvl w:val="1"/>
        <w:rPr>
          <w:rFonts w:eastAsia="黑体"/>
          <w:color w:val="000000"/>
          <w:szCs w:val="32"/>
        </w:rPr>
      </w:pPr>
      <w:bookmarkStart w:id="393" w:name="_Toc18742"/>
      <w:bookmarkStart w:id="394" w:name="_Toc4632"/>
      <w:bookmarkStart w:id="395" w:name="_Toc19003"/>
      <w:bookmarkStart w:id="396" w:name="_Toc14703"/>
      <w:bookmarkStart w:id="397" w:name="_Toc15187"/>
      <w:bookmarkStart w:id="398" w:name="_Toc10689"/>
      <w:bookmarkStart w:id="399" w:name="_Toc9450"/>
      <w:bookmarkStart w:id="400" w:name="_Toc808"/>
      <w:bookmarkStart w:id="401" w:name="_Toc7412"/>
      <w:bookmarkStart w:id="402" w:name="_Toc27687"/>
      <w:r>
        <w:rPr>
          <w:rFonts w:eastAsia="黑体"/>
          <w:color w:val="000000"/>
          <w:szCs w:val="32"/>
        </w:rPr>
        <w:t>农业农村领域</w:t>
      </w:r>
      <w:bookmarkEnd w:id="393"/>
      <w:bookmarkEnd w:id="394"/>
      <w:bookmarkEnd w:id="395"/>
      <w:bookmarkEnd w:id="396"/>
      <w:bookmarkEnd w:id="397"/>
      <w:bookmarkEnd w:id="398"/>
      <w:bookmarkEnd w:id="399"/>
      <w:bookmarkEnd w:id="400"/>
      <w:bookmarkEnd w:id="401"/>
      <w:bookmarkEnd w:id="402"/>
    </w:p>
    <w:p>
      <w:pPr>
        <w:spacing w:line="580" w:lineRule="exact"/>
        <w:ind w:firstLine="640" w:firstLineChars="200"/>
        <w:outlineLvl w:val="2"/>
        <w:rPr>
          <w:rFonts w:eastAsia="楷体"/>
          <w:color w:val="000000"/>
          <w:szCs w:val="32"/>
        </w:rPr>
      </w:pPr>
      <w:bookmarkStart w:id="403" w:name="_Toc18118"/>
      <w:bookmarkStart w:id="404" w:name="_Toc18928"/>
      <w:bookmarkStart w:id="405" w:name="_Toc24642"/>
      <w:bookmarkStart w:id="406" w:name="_Toc23808"/>
      <w:bookmarkStart w:id="407" w:name="_Toc32725"/>
      <w:bookmarkStart w:id="408" w:name="_Toc24947"/>
      <w:bookmarkStart w:id="409" w:name="_Toc15510"/>
      <w:bookmarkStart w:id="410" w:name="_Toc23062"/>
      <w:bookmarkStart w:id="411" w:name="_Toc27272"/>
      <w:bookmarkStart w:id="412" w:name="_Toc18209"/>
      <w:r>
        <w:rPr>
          <w:rFonts w:eastAsia="楷体"/>
          <w:color w:val="000000"/>
          <w:szCs w:val="32"/>
        </w:rPr>
        <w:t>（一）农业生产</w:t>
      </w:r>
      <w:bookmarkEnd w:id="403"/>
      <w:bookmarkEnd w:id="404"/>
      <w:bookmarkEnd w:id="405"/>
      <w:bookmarkEnd w:id="406"/>
      <w:bookmarkEnd w:id="407"/>
      <w:bookmarkEnd w:id="408"/>
      <w:bookmarkEnd w:id="409"/>
      <w:bookmarkEnd w:id="410"/>
      <w:bookmarkEnd w:id="411"/>
      <w:bookmarkEnd w:id="412"/>
    </w:p>
    <w:p>
      <w:pPr>
        <w:spacing w:line="580" w:lineRule="exact"/>
        <w:ind w:firstLine="642" w:firstLineChars="200"/>
        <w:outlineLvl w:val="2"/>
        <w:rPr>
          <w:b/>
          <w:bCs/>
          <w:color w:val="000000"/>
          <w:szCs w:val="32"/>
        </w:rPr>
      </w:pPr>
      <w:bookmarkStart w:id="413" w:name="_Toc4957"/>
      <w:bookmarkStart w:id="414" w:name="_Toc12388"/>
      <w:bookmarkStart w:id="415" w:name="_Toc24933"/>
      <w:bookmarkStart w:id="416" w:name="_Toc29643"/>
      <w:bookmarkStart w:id="417" w:name="_Toc25292"/>
      <w:bookmarkStart w:id="418" w:name="_Toc19537"/>
      <w:bookmarkStart w:id="419" w:name="_Toc22334"/>
      <w:bookmarkStart w:id="420" w:name="_Toc20049"/>
      <w:bookmarkStart w:id="421" w:name="_Toc15129"/>
      <w:bookmarkStart w:id="422" w:name="_Toc26892"/>
      <w:r>
        <w:rPr>
          <w:b/>
          <w:bCs/>
          <w:color w:val="000000"/>
          <w:szCs w:val="32"/>
        </w:rPr>
        <w:t>高标准农田建设项目</w:t>
      </w:r>
      <w:bookmarkEnd w:id="413"/>
      <w:bookmarkEnd w:id="414"/>
      <w:bookmarkEnd w:id="415"/>
      <w:bookmarkEnd w:id="416"/>
      <w:bookmarkEnd w:id="417"/>
      <w:bookmarkEnd w:id="418"/>
      <w:bookmarkEnd w:id="419"/>
      <w:bookmarkEnd w:id="420"/>
      <w:bookmarkEnd w:id="421"/>
      <w:bookmarkEnd w:id="422"/>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××县农业农村局</w:t>
      </w:r>
    </w:p>
    <w:p>
      <w:pPr>
        <w:spacing w:line="580" w:lineRule="exact"/>
        <w:ind w:firstLine="640" w:firstLineChars="200"/>
        <w:rPr>
          <w:color w:val="000000"/>
          <w:szCs w:val="32"/>
        </w:rPr>
      </w:pPr>
      <w:r>
        <w:rPr>
          <w:color w:val="000000"/>
          <w:szCs w:val="32"/>
        </w:rPr>
        <w:t>（2）实施范围和条件</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eastAsia="zh-CN"/>
        </w:rPr>
        <w:t>列入全国和自治区高标准农田建设规划范围的区域。</w:t>
      </w:r>
    </w:p>
    <w:p>
      <w:pPr>
        <w:spacing w:line="580" w:lineRule="exact"/>
        <w:ind w:firstLine="640" w:firstLineChars="200"/>
        <w:rPr>
          <w:color w:val="000000"/>
          <w:szCs w:val="32"/>
        </w:rPr>
      </w:pPr>
      <w:r>
        <w:rPr>
          <w:color w:val="000000"/>
          <w:szCs w:val="32"/>
        </w:rPr>
        <w:t>（3）主要建设内容或规模</w:t>
      </w:r>
    </w:p>
    <w:p>
      <w:pPr>
        <w:adjustRightInd w:val="0"/>
        <w:snapToGrid w:val="0"/>
        <w:spacing w:line="580" w:lineRule="exact"/>
        <w:ind w:firstLine="640" w:firstLineChars="200"/>
        <w:rPr>
          <w:color w:val="000000"/>
          <w:szCs w:val="32"/>
        </w:rPr>
      </w:pPr>
      <w:r>
        <w:rPr>
          <w:color w:val="000000"/>
          <w:szCs w:val="32"/>
        </w:rPr>
        <w:t>根据《全国高标准农田建设总体规划》《国务院关于建立粮食生产功能区和重要农产品生产保护区的指导意见》和《农田建设项目管理办法》，按照《高标准农田建设通则》（GB/T30600-2014），围绕提升耕地地力，加强连片土地平整、土壤改良、有机肥积造施用、耕地质量监测点等方面建设，逐步形成一批万亩以上的区域化、规模化、集中连片的高标准粮食生产功能区。</w:t>
      </w:r>
    </w:p>
    <w:p>
      <w:pPr>
        <w:spacing w:line="580" w:lineRule="exact"/>
        <w:ind w:firstLine="640" w:firstLineChars="200"/>
        <w:rPr>
          <w:color w:val="000000"/>
          <w:szCs w:val="32"/>
        </w:rPr>
      </w:pPr>
      <w:r>
        <w:rPr>
          <w:color w:val="000000"/>
          <w:szCs w:val="32"/>
        </w:rPr>
        <w:t>（4）建设性质</w:t>
      </w:r>
    </w:p>
    <w:p>
      <w:pPr>
        <w:spacing w:line="580" w:lineRule="exact"/>
        <w:rPr>
          <w:color w:val="000000"/>
          <w:szCs w:val="32"/>
        </w:rPr>
      </w:pPr>
      <w:r>
        <w:rPr>
          <w:color w:val="000000"/>
          <w:szCs w:val="32"/>
        </w:rPr>
        <w:t xml:space="preserve">    新建</w:t>
      </w:r>
    </w:p>
    <w:p>
      <w:pPr>
        <w:spacing w:line="580" w:lineRule="exact"/>
        <w:ind w:firstLine="640" w:firstLineChars="200"/>
        <w:rPr>
          <w:color w:val="000000"/>
          <w:szCs w:val="32"/>
        </w:rPr>
      </w:pPr>
      <w:r>
        <w:rPr>
          <w:color w:val="000000"/>
          <w:szCs w:val="32"/>
        </w:rPr>
        <w:t>（5）实施年限</w:t>
      </w:r>
    </w:p>
    <w:p>
      <w:pPr>
        <w:spacing w:line="580" w:lineRule="exact"/>
        <w:ind w:firstLine="640" w:firstLineChars="200"/>
        <w:rPr>
          <w:color w:val="000000"/>
          <w:szCs w:val="32"/>
        </w:rPr>
      </w:pPr>
      <w:r>
        <w:rPr>
          <w:color w:val="000000"/>
          <w:szCs w:val="32"/>
        </w:rPr>
        <w:t>建设期控制在1年为宜。</w:t>
      </w:r>
    </w:p>
    <w:p>
      <w:pPr>
        <w:spacing w:line="580" w:lineRule="exact"/>
        <w:ind w:firstLine="640" w:firstLineChars="200"/>
        <w:rPr>
          <w:color w:val="000000"/>
          <w:szCs w:val="32"/>
        </w:rPr>
      </w:pPr>
      <w:r>
        <w:rPr>
          <w:color w:val="000000"/>
          <w:szCs w:val="32"/>
        </w:rPr>
        <w:t>（6）估算投资及资金来源初步方案</w:t>
      </w:r>
    </w:p>
    <w:p>
      <w:pPr>
        <w:spacing w:line="580" w:lineRule="exact"/>
        <w:ind w:firstLine="640" w:firstLineChars="200"/>
        <w:rPr>
          <w:color w:val="000000"/>
          <w:szCs w:val="32"/>
        </w:rPr>
      </w:pPr>
      <w:r>
        <w:rPr>
          <w:color w:val="000000"/>
          <w:szCs w:val="32"/>
        </w:rPr>
        <w:t>中央预算内投资通过定额补助方式予以支持，采取切块方式下达。农业农村部门在统筹各渠道资金和建设任务需求的基础上，以县为单位，因地制宜、实事求是、科学设计，并足额落实地方投资。</w:t>
      </w:r>
    </w:p>
    <w:p>
      <w:pPr>
        <w:spacing w:line="580" w:lineRule="exact"/>
        <w:ind w:firstLine="640" w:firstLineChars="200"/>
        <w:rPr>
          <w:color w:val="000000"/>
          <w:szCs w:val="32"/>
        </w:rPr>
      </w:pPr>
      <w:r>
        <w:rPr>
          <w:color w:val="000000"/>
          <w:szCs w:val="32"/>
        </w:rPr>
        <w:t>（7）经济社会效益</w:t>
      </w:r>
    </w:p>
    <w:p>
      <w:pPr>
        <w:spacing w:line="580" w:lineRule="exact"/>
        <w:ind w:firstLine="640" w:firstLineChars="200"/>
        <w:rPr>
          <w:color w:val="000000"/>
          <w:szCs w:val="32"/>
        </w:rPr>
      </w:pPr>
      <w:r>
        <w:rPr>
          <w:color w:val="000000"/>
          <w:szCs w:val="32"/>
        </w:rPr>
        <w:t>保障粮食及重要农产品供给能力，改善农田基础设施条件、内在质量、生态环境，建设高产生态农田。</w:t>
      </w:r>
    </w:p>
    <w:p>
      <w:pPr>
        <w:spacing w:line="580" w:lineRule="exact"/>
        <w:ind w:firstLine="640" w:firstLineChars="200"/>
        <w:outlineLvl w:val="2"/>
        <w:rPr>
          <w:rFonts w:eastAsia="楷体"/>
          <w:color w:val="000000"/>
          <w:szCs w:val="32"/>
        </w:rPr>
      </w:pPr>
      <w:bookmarkStart w:id="423" w:name="_Toc14221"/>
      <w:bookmarkStart w:id="424" w:name="_Toc7958"/>
      <w:bookmarkStart w:id="425" w:name="_Toc3896"/>
      <w:bookmarkStart w:id="426" w:name="_Toc9101"/>
      <w:bookmarkStart w:id="427" w:name="_Toc17741"/>
      <w:bookmarkStart w:id="428" w:name="_Toc28574"/>
      <w:bookmarkStart w:id="429" w:name="_Toc27288"/>
      <w:bookmarkStart w:id="430" w:name="_Toc28612"/>
      <w:bookmarkStart w:id="431" w:name="_Toc19386"/>
      <w:bookmarkStart w:id="432" w:name="_Toc16704"/>
      <w:r>
        <w:rPr>
          <w:rFonts w:eastAsia="楷体"/>
          <w:color w:val="000000"/>
          <w:szCs w:val="32"/>
        </w:rPr>
        <w:t>（二）农业可持续发展</w:t>
      </w:r>
      <w:bookmarkEnd w:id="423"/>
      <w:bookmarkEnd w:id="424"/>
      <w:bookmarkEnd w:id="425"/>
      <w:bookmarkEnd w:id="426"/>
      <w:bookmarkEnd w:id="427"/>
      <w:bookmarkEnd w:id="428"/>
      <w:bookmarkEnd w:id="429"/>
      <w:bookmarkEnd w:id="430"/>
      <w:bookmarkEnd w:id="431"/>
      <w:bookmarkEnd w:id="432"/>
    </w:p>
    <w:p>
      <w:pPr>
        <w:spacing w:line="580" w:lineRule="exact"/>
        <w:ind w:firstLine="642" w:firstLineChars="200"/>
        <w:outlineLvl w:val="2"/>
        <w:rPr>
          <w:b/>
          <w:bCs/>
          <w:color w:val="000000"/>
          <w:szCs w:val="32"/>
        </w:rPr>
      </w:pPr>
      <w:bookmarkStart w:id="433" w:name="_Toc26916"/>
      <w:bookmarkStart w:id="434" w:name="_Toc10966"/>
      <w:bookmarkStart w:id="435" w:name="_Toc28887"/>
      <w:bookmarkStart w:id="436" w:name="_Toc3835"/>
      <w:bookmarkStart w:id="437" w:name="_Toc30888"/>
      <w:bookmarkStart w:id="438" w:name="_Toc5836"/>
      <w:bookmarkStart w:id="439" w:name="_Toc21064"/>
      <w:bookmarkStart w:id="440" w:name="_Toc2431"/>
      <w:bookmarkStart w:id="441" w:name="_Toc1472"/>
      <w:bookmarkStart w:id="442" w:name="_Toc27521"/>
      <w:r>
        <w:rPr>
          <w:b/>
          <w:bCs/>
          <w:color w:val="000000"/>
          <w:szCs w:val="32"/>
        </w:rPr>
        <w:t>1.畜禽粪污资源化利用整县推进项目</w:t>
      </w:r>
      <w:bookmarkEnd w:id="433"/>
      <w:bookmarkEnd w:id="434"/>
      <w:bookmarkEnd w:id="435"/>
      <w:bookmarkEnd w:id="436"/>
      <w:bookmarkEnd w:id="437"/>
      <w:bookmarkEnd w:id="438"/>
      <w:bookmarkEnd w:id="439"/>
      <w:bookmarkEnd w:id="440"/>
      <w:bookmarkEnd w:id="441"/>
      <w:bookmarkEnd w:id="442"/>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××县（区）农业农村局</w:t>
      </w:r>
    </w:p>
    <w:p>
      <w:pPr>
        <w:spacing w:line="580" w:lineRule="exact"/>
        <w:ind w:firstLine="640" w:firstLineChars="200"/>
        <w:rPr>
          <w:color w:val="000000"/>
          <w:szCs w:val="32"/>
        </w:rPr>
      </w:pPr>
      <w:r>
        <w:rPr>
          <w:color w:val="000000"/>
          <w:szCs w:val="32"/>
        </w:rPr>
        <w:t>（2）实施范围和条件</w:t>
      </w:r>
    </w:p>
    <w:p>
      <w:pPr>
        <w:adjustRightInd w:val="0"/>
        <w:snapToGrid w:val="0"/>
        <w:spacing w:line="580" w:lineRule="exact"/>
        <w:ind w:firstLine="640" w:firstLineChars="200"/>
        <w:rPr>
          <w:color w:val="000000"/>
          <w:szCs w:val="32"/>
        </w:rPr>
      </w:pPr>
      <w:r>
        <w:rPr>
          <w:color w:val="000000"/>
          <w:szCs w:val="32"/>
        </w:rPr>
        <w:t>①畜禽粪污资源化利用整县推进项目续建项目。</w:t>
      </w:r>
    </w:p>
    <w:p>
      <w:pPr>
        <w:adjustRightInd w:val="0"/>
        <w:snapToGrid w:val="0"/>
        <w:spacing w:line="580" w:lineRule="exact"/>
        <w:ind w:firstLine="640" w:firstLineChars="200"/>
        <w:rPr>
          <w:color w:val="000000"/>
          <w:szCs w:val="32"/>
        </w:rPr>
      </w:pPr>
      <w:r>
        <w:rPr>
          <w:color w:val="000000"/>
          <w:szCs w:val="32"/>
        </w:rPr>
        <w:t>②新申报开展畜禽粪污资源化利用整县推进的非畜牧大县。</w:t>
      </w:r>
    </w:p>
    <w:p>
      <w:pPr>
        <w:adjustRightInd w:val="0"/>
        <w:snapToGrid w:val="0"/>
        <w:spacing w:line="580" w:lineRule="exact"/>
        <w:ind w:firstLine="640" w:firstLineChars="200"/>
        <w:rPr>
          <w:color w:val="000000"/>
          <w:szCs w:val="32"/>
        </w:rPr>
      </w:pPr>
      <w:r>
        <w:rPr>
          <w:color w:val="000000"/>
          <w:szCs w:val="32"/>
        </w:rPr>
        <w:t>申报项目县按统计口径近三年生猪存栏量稳定在10万头以上，且生猪规模养殖场存栏量1万头以上。</w:t>
      </w:r>
    </w:p>
    <w:p>
      <w:pPr>
        <w:spacing w:line="580" w:lineRule="exact"/>
        <w:ind w:firstLine="640" w:firstLineChars="200"/>
        <w:rPr>
          <w:color w:val="000000"/>
          <w:szCs w:val="32"/>
        </w:rPr>
      </w:pPr>
      <w:r>
        <w:rPr>
          <w:color w:val="000000"/>
          <w:szCs w:val="32"/>
        </w:rPr>
        <w:t>（3）主要建设内容或规模</w:t>
      </w:r>
    </w:p>
    <w:p>
      <w:pPr>
        <w:adjustRightInd w:val="0"/>
        <w:snapToGrid w:val="0"/>
        <w:spacing w:line="580" w:lineRule="exact"/>
        <w:ind w:firstLine="640" w:firstLineChars="200"/>
        <w:rPr>
          <w:color w:val="000000"/>
          <w:szCs w:val="32"/>
        </w:rPr>
      </w:pPr>
      <w:r>
        <w:rPr>
          <w:color w:val="000000"/>
          <w:szCs w:val="32"/>
        </w:rPr>
        <w:t>重点支持生猪规模养殖化养殖场建设粪污收集、贮存、处理、利用等环节的基础设施建设，兼顾其他养殖场户和畜禽粪污处理社会化服务组织。</w:t>
      </w:r>
    </w:p>
    <w:p>
      <w:pPr>
        <w:adjustRightInd w:val="0"/>
        <w:snapToGrid w:val="0"/>
        <w:spacing w:line="580" w:lineRule="exact"/>
        <w:ind w:firstLine="640" w:firstLineChars="200"/>
        <w:rPr>
          <w:color w:val="000000"/>
          <w:szCs w:val="32"/>
        </w:rPr>
      </w:pPr>
      <w:r>
        <w:rPr>
          <w:color w:val="000000"/>
          <w:szCs w:val="32"/>
        </w:rPr>
        <w:t>①规模化养殖场。以生猪规模养殖场为重点，支持规模场改造升级，实现畜禽饲喂自动化、环境控制智能化、粪污处理机械化。畜禽养殖环节，重点支持漏缝地板等圈舍清洁化改造，包括节水设施改造、房屋保温改造、环境控制设备购置等，减少废弃物产生量。粪污处理环节，重点支持粪污深坑贮存发酵或者利用氧化塘（覆膜或加盖）贮存发酵，确有必要时可适当支持沼气工程和堆肥设施建设。粪肥施用环节，重点支持购买施肥设备，配套建设粪污输送管网、田间贮存池等利用设施，鼓励采取降低畜禽粪污养分损失的粪肥施用方式。</w:t>
      </w:r>
    </w:p>
    <w:p>
      <w:pPr>
        <w:adjustRightInd w:val="0"/>
        <w:snapToGrid w:val="0"/>
        <w:spacing w:line="580" w:lineRule="exact"/>
        <w:ind w:firstLine="640" w:firstLineChars="200"/>
        <w:rPr>
          <w:color w:val="000000"/>
          <w:szCs w:val="32"/>
        </w:rPr>
      </w:pPr>
      <w:r>
        <w:rPr>
          <w:color w:val="000000"/>
          <w:szCs w:val="32"/>
        </w:rPr>
        <w:t>②规模以下养殖场户。重点支持规模以下养殖场户建设密闭化粪污贮存池或沼气池等粪污发酵设施。</w:t>
      </w:r>
    </w:p>
    <w:p>
      <w:pPr>
        <w:adjustRightInd w:val="0"/>
        <w:snapToGrid w:val="0"/>
        <w:spacing w:line="580" w:lineRule="exact"/>
        <w:ind w:firstLine="640" w:firstLineChars="200"/>
        <w:rPr>
          <w:color w:val="000000"/>
          <w:szCs w:val="32"/>
        </w:rPr>
      </w:pPr>
      <w:r>
        <w:rPr>
          <w:color w:val="000000"/>
          <w:szCs w:val="32"/>
        </w:rPr>
        <w:t>③社会化服务组织。主要支持粪污收集、处理和粪肥施用社会化服务组织购买粪污运输、粪污检测、粪肥施用设备等。</w:t>
      </w:r>
    </w:p>
    <w:p>
      <w:pPr>
        <w:spacing w:line="580" w:lineRule="exact"/>
        <w:ind w:firstLine="640" w:firstLineChars="200"/>
        <w:rPr>
          <w:color w:val="000000"/>
          <w:szCs w:val="32"/>
        </w:rPr>
      </w:pPr>
      <w:r>
        <w:rPr>
          <w:color w:val="000000"/>
          <w:szCs w:val="32"/>
        </w:rPr>
        <w:t>（4）建设性质</w:t>
      </w:r>
    </w:p>
    <w:p>
      <w:pPr>
        <w:spacing w:line="580" w:lineRule="exact"/>
        <w:ind w:firstLine="640" w:firstLineChars="200"/>
        <w:rPr>
          <w:color w:val="000000"/>
          <w:szCs w:val="32"/>
        </w:rPr>
      </w:pPr>
      <w:r>
        <w:rPr>
          <w:color w:val="000000"/>
          <w:szCs w:val="32"/>
        </w:rPr>
        <w:t>新建、续建、改扩建</w:t>
      </w:r>
    </w:p>
    <w:p>
      <w:pPr>
        <w:spacing w:line="580" w:lineRule="exact"/>
        <w:ind w:firstLine="640" w:firstLineChars="200"/>
        <w:rPr>
          <w:color w:val="000000"/>
          <w:szCs w:val="32"/>
        </w:rPr>
      </w:pPr>
      <w:r>
        <w:rPr>
          <w:color w:val="000000"/>
          <w:szCs w:val="32"/>
        </w:rPr>
        <w:t>（5）实施年限</w:t>
      </w:r>
    </w:p>
    <w:p>
      <w:pPr>
        <w:spacing w:line="580" w:lineRule="exact"/>
        <w:ind w:firstLine="640" w:firstLineChars="200"/>
        <w:rPr>
          <w:color w:val="000000"/>
          <w:szCs w:val="32"/>
        </w:rPr>
      </w:pPr>
      <w:r>
        <w:rPr>
          <w:color w:val="000000"/>
          <w:szCs w:val="32"/>
        </w:rPr>
        <w:t>建设期控制在1-2年为宜。</w:t>
      </w:r>
    </w:p>
    <w:p>
      <w:pPr>
        <w:spacing w:line="580" w:lineRule="exact"/>
        <w:ind w:firstLine="640" w:firstLineChars="200"/>
        <w:rPr>
          <w:color w:val="000000"/>
          <w:szCs w:val="32"/>
        </w:rPr>
      </w:pPr>
      <w:r>
        <w:rPr>
          <w:color w:val="000000"/>
          <w:szCs w:val="32"/>
        </w:rPr>
        <w:t>（6）估算投资及资金来源初步方案</w:t>
      </w:r>
    </w:p>
    <w:p>
      <w:pPr>
        <w:adjustRightInd w:val="0"/>
        <w:snapToGrid w:val="0"/>
        <w:spacing w:line="580" w:lineRule="exact"/>
        <w:ind w:firstLine="640" w:firstLineChars="200"/>
        <w:rPr>
          <w:color w:val="000000"/>
          <w:szCs w:val="32"/>
        </w:rPr>
      </w:pPr>
      <w:r>
        <w:rPr>
          <w:color w:val="000000"/>
          <w:szCs w:val="32"/>
        </w:rPr>
        <w:t>以企业投资为主，中央预算内投资给予适当补助。对符合条件的项目县，中央投资补助比例不超过项目总投资的50%，最多不超过3000万元。贫困县可适当提高补助比例。</w:t>
      </w:r>
    </w:p>
    <w:p>
      <w:pPr>
        <w:spacing w:line="580" w:lineRule="exact"/>
        <w:ind w:firstLine="640" w:firstLineChars="200"/>
        <w:rPr>
          <w:color w:val="000000"/>
          <w:szCs w:val="32"/>
        </w:rPr>
      </w:pPr>
      <w:r>
        <w:rPr>
          <w:color w:val="000000"/>
          <w:szCs w:val="32"/>
        </w:rPr>
        <w:t>（7）经济社会效益</w:t>
      </w:r>
    </w:p>
    <w:p>
      <w:pPr>
        <w:spacing w:line="580" w:lineRule="exact"/>
        <w:ind w:firstLine="640" w:firstLineChars="200"/>
        <w:rPr>
          <w:color w:val="000000"/>
          <w:szCs w:val="32"/>
        </w:rPr>
      </w:pPr>
      <w:r>
        <w:rPr>
          <w:color w:val="000000"/>
          <w:szCs w:val="32"/>
        </w:rPr>
        <w:t>提升畜禽规模化养殖水平，推进畜禽粪污资源化利用，促进畜禽养殖绿化发展。</w:t>
      </w:r>
    </w:p>
    <w:p>
      <w:pPr>
        <w:spacing w:line="580" w:lineRule="exact"/>
        <w:ind w:firstLine="642" w:firstLineChars="200"/>
        <w:outlineLvl w:val="2"/>
        <w:rPr>
          <w:b/>
          <w:bCs/>
          <w:color w:val="000000"/>
          <w:szCs w:val="32"/>
        </w:rPr>
      </w:pPr>
      <w:bookmarkStart w:id="443" w:name="_Toc30812"/>
      <w:bookmarkStart w:id="444" w:name="_Toc1361"/>
      <w:bookmarkStart w:id="445" w:name="_Toc9820"/>
      <w:bookmarkStart w:id="446" w:name="_Toc7204"/>
      <w:bookmarkStart w:id="447" w:name="_Toc7446"/>
      <w:bookmarkStart w:id="448" w:name="_Toc27422"/>
      <w:bookmarkStart w:id="449" w:name="_Toc29314"/>
      <w:bookmarkStart w:id="450" w:name="_Toc27362"/>
      <w:bookmarkStart w:id="451" w:name="_Toc31602"/>
      <w:bookmarkStart w:id="452" w:name="_Toc11407"/>
      <w:r>
        <w:rPr>
          <w:b/>
          <w:bCs/>
          <w:color w:val="000000"/>
          <w:szCs w:val="32"/>
        </w:rPr>
        <w:t>2.生猪规模化养殖场建设补助项目</w:t>
      </w:r>
      <w:bookmarkEnd w:id="443"/>
      <w:bookmarkEnd w:id="444"/>
      <w:bookmarkEnd w:id="445"/>
      <w:bookmarkEnd w:id="446"/>
      <w:bookmarkEnd w:id="447"/>
      <w:bookmarkEnd w:id="448"/>
      <w:bookmarkEnd w:id="449"/>
      <w:bookmarkEnd w:id="450"/>
      <w:bookmarkEnd w:id="451"/>
      <w:bookmarkEnd w:id="452"/>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××县（区）农业农村局</w:t>
      </w:r>
    </w:p>
    <w:p>
      <w:pPr>
        <w:spacing w:line="580" w:lineRule="exact"/>
        <w:ind w:firstLine="640" w:firstLineChars="200"/>
        <w:rPr>
          <w:color w:val="000000"/>
          <w:szCs w:val="32"/>
        </w:rPr>
      </w:pPr>
      <w:r>
        <w:rPr>
          <w:color w:val="000000"/>
          <w:szCs w:val="32"/>
        </w:rPr>
        <w:t>（2）实施范围和条件</w:t>
      </w:r>
    </w:p>
    <w:p>
      <w:pPr>
        <w:adjustRightInd w:val="0"/>
        <w:snapToGrid w:val="0"/>
        <w:spacing w:line="580" w:lineRule="exact"/>
        <w:ind w:firstLine="640" w:firstLineChars="200"/>
        <w:rPr>
          <w:color w:val="000000"/>
          <w:szCs w:val="32"/>
        </w:rPr>
      </w:pPr>
      <w:r>
        <w:rPr>
          <w:color w:val="000000"/>
          <w:szCs w:val="32"/>
        </w:rPr>
        <w:t>对新建、改扩建种猪场、规模猪场（户）和禁养区内规模养猪场（户）异地重建等给予适当补助，主要支持生猪规模化养殖场和种猪场建设动物防疫、粪污处理、养殖环境控制、自动饲喂等基础设施建设。</w:t>
      </w:r>
    </w:p>
    <w:p>
      <w:pPr>
        <w:adjustRightInd w:val="0"/>
        <w:snapToGrid w:val="0"/>
        <w:spacing w:line="580" w:lineRule="exact"/>
        <w:ind w:firstLine="640" w:firstLineChars="200"/>
        <w:rPr>
          <w:color w:val="000000"/>
          <w:szCs w:val="32"/>
        </w:rPr>
      </w:pPr>
      <w:r>
        <w:rPr>
          <w:color w:val="000000"/>
          <w:szCs w:val="32"/>
        </w:rPr>
        <w:t>①生猪规模化养殖场年出栏须在1000头至50000头之间；新建的规模化养殖场（种猪场）相关用地、环评等手续齐全，种猪场还需具有种畜禽生产经营许可证；改扩建的养殖场（种猪场）已在农业农村部养殖场直联直报信息平台登记备案。</w:t>
      </w:r>
    </w:p>
    <w:p>
      <w:pPr>
        <w:adjustRightInd w:val="0"/>
        <w:snapToGrid w:val="0"/>
        <w:spacing w:line="580" w:lineRule="exact"/>
        <w:ind w:firstLine="640" w:firstLineChars="200"/>
        <w:rPr>
          <w:color w:val="000000"/>
          <w:szCs w:val="32"/>
        </w:rPr>
      </w:pPr>
      <w:r>
        <w:rPr>
          <w:color w:val="000000"/>
          <w:szCs w:val="32"/>
        </w:rPr>
        <w:t>②已享受过中央预算内投资支持的生猪规模化养殖场不得重复申报本专项投资。</w:t>
      </w:r>
    </w:p>
    <w:p>
      <w:pPr>
        <w:adjustRightInd w:val="0"/>
        <w:snapToGrid w:val="0"/>
        <w:spacing w:line="580" w:lineRule="exact"/>
        <w:ind w:firstLine="640" w:firstLineChars="200"/>
        <w:rPr>
          <w:color w:val="000000"/>
          <w:szCs w:val="32"/>
        </w:rPr>
      </w:pPr>
      <w:r>
        <w:rPr>
          <w:color w:val="000000"/>
          <w:szCs w:val="32"/>
        </w:rPr>
        <w:t>③已申报畜禽粪污资源化利用整县推进项目的养殖场原则上不得再申报本专项投资；如需申报，建设内容不得包括养殖废弃物资源化利用有关建设。</w:t>
      </w:r>
    </w:p>
    <w:p>
      <w:pPr>
        <w:spacing w:line="580" w:lineRule="exact"/>
        <w:ind w:firstLine="640" w:firstLineChars="200"/>
        <w:rPr>
          <w:color w:val="000000"/>
          <w:szCs w:val="32"/>
        </w:rPr>
      </w:pPr>
      <w:r>
        <w:rPr>
          <w:color w:val="000000"/>
          <w:szCs w:val="32"/>
        </w:rPr>
        <w:t>（3）主要建设内容或规模</w:t>
      </w:r>
    </w:p>
    <w:p>
      <w:pPr>
        <w:adjustRightInd w:val="0"/>
        <w:snapToGrid w:val="0"/>
        <w:spacing w:line="580" w:lineRule="exact"/>
        <w:ind w:firstLine="640" w:firstLineChars="200"/>
        <w:rPr>
          <w:color w:val="000000"/>
          <w:szCs w:val="32"/>
        </w:rPr>
      </w:pPr>
      <w:r>
        <w:rPr>
          <w:color w:val="000000"/>
          <w:szCs w:val="32"/>
        </w:rPr>
        <w:t>①生物防控体系建设。通过新建和改扩建的方式，提高生物安全防护水平。主要建设内容包括车辆洗消中心，购入、出售和淘汰猪中转点，移动式转猪台，中转料塔，烘干房，人员隔离缓冲区，人员更衣、淋浴消毒间，物资消毒间，物理隔离带（围栏），消毒池等。</w:t>
      </w:r>
    </w:p>
    <w:p>
      <w:pPr>
        <w:adjustRightInd w:val="0"/>
        <w:snapToGrid w:val="0"/>
        <w:spacing w:line="580" w:lineRule="exact"/>
        <w:ind w:firstLine="640" w:firstLineChars="200"/>
        <w:rPr>
          <w:color w:val="000000"/>
          <w:szCs w:val="32"/>
        </w:rPr>
      </w:pPr>
      <w:r>
        <w:rPr>
          <w:color w:val="000000"/>
          <w:szCs w:val="32"/>
        </w:rPr>
        <w:t>②养殖废弃物资源化利用。支持生猪规模化养殖场和种猪场转变养殖方式，采用污水减量、厌氧发酵、好氧发酵等措施处理和利用畜禽粪污，促进畜禽粪污资源化利用。主要建设内容包括畜禽粪污收集设施、贮存设施、沼气工程设施、氧化塘、粪便堆（沤）肥设施、运输设施等。</w:t>
      </w:r>
    </w:p>
    <w:p>
      <w:pPr>
        <w:adjustRightInd w:val="0"/>
        <w:snapToGrid w:val="0"/>
        <w:spacing w:line="580" w:lineRule="exact"/>
        <w:ind w:firstLine="640" w:firstLineChars="200"/>
        <w:rPr>
          <w:color w:val="000000"/>
          <w:szCs w:val="32"/>
        </w:rPr>
      </w:pPr>
      <w:r>
        <w:rPr>
          <w:color w:val="000000"/>
          <w:szCs w:val="32"/>
        </w:rPr>
        <w:t>③养殖环境控制。以提升猪舍环境舒适度，减少环境变化对猪造成的应激，提高猪群福利和健康水平为目标，主要建设内容为自动化通风系统，包括风机、通风窗、湿帘、卷帘、进排风筒等配套设施设备；自动化温控系统，包括降温、加热、空调换气和空气过虑等配套设施设备；自动化环境监测系统，包括CO</w:t>
      </w:r>
      <w:r>
        <w:rPr>
          <w:color w:val="000000"/>
          <w:szCs w:val="32"/>
          <w:vertAlign w:val="subscript"/>
        </w:rPr>
        <w:t>2</w:t>
      </w:r>
      <w:r>
        <w:rPr>
          <w:color w:val="000000"/>
          <w:szCs w:val="32"/>
        </w:rPr>
        <w:t>、NH</w:t>
      </w:r>
      <w:r>
        <w:rPr>
          <w:color w:val="000000"/>
          <w:szCs w:val="32"/>
          <w:vertAlign w:val="subscript"/>
        </w:rPr>
        <w:t>3</w:t>
      </w:r>
      <w:r>
        <w:rPr>
          <w:color w:val="000000"/>
          <w:szCs w:val="32"/>
        </w:rPr>
        <w:t>、H</w:t>
      </w:r>
      <w:r>
        <w:rPr>
          <w:color w:val="000000"/>
          <w:szCs w:val="32"/>
          <w:vertAlign w:val="subscript"/>
        </w:rPr>
        <w:t>2</w:t>
      </w:r>
      <w:r>
        <w:rPr>
          <w:color w:val="000000"/>
          <w:szCs w:val="32"/>
        </w:rPr>
        <w:t>S浓度传感器、数据采集传输设备和监控主机等。</w:t>
      </w:r>
    </w:p>
    <w:p>
      <w:pPr>
        <w:adjustRightInd w:val="0"/>
        <w:snapToGrid w:val="0"/>
        <w:spacing w:line="580" w:lineRule="exact"/>
        <w:ind w:firstLine="640" w:firstLineChars="200"/>
        <w:rPr>
          <w:color w:val="000000"/>
          <w:szCs w:val="32"/>
        </w:rPr>
      </w:pPr>
      <w:r>
        <w:rPr>
          <w:color w:val="000000"/>
          <w:szCs w:val="32"/>
        </w:rPr>
        <w:t>④自动化饲喂。以生猪养殖智能化和自动化为目标，实现生猪生产精准作业、精准控制，主要建设内容为自动饮水系统、精准上料系统和料塔、个体身份识别系统、精准管理系统等。</w:t>
      </w:r>
    </w:p>
    <w:p>
      <w:pPr>
        <w:spacing w:line="580" w:lineRule="exact"/>
        <w:ind w:firstLine="640" w:firstLineChars="200"/>
        <w:rPr>
          <w:color w:val="000000"/>
          <w:szCs w:val="32"/>
        </w:rPr>
      </w:pPr>
      <w:r>
        <w:rPr>
          <w:color w:val="000000"/>
          <w:szCs w:val="32"/>
        </w:rPr>
        <w:t>（4）建设性质</w:t>
      </w:r>
    </w:p>
    <w:p>
      <w:pPr>
        <w:spacing w:line="580" w:lineRule="exact"/>
        <w:ind w:firstLine="640" w:firstLineChars="200"/>
        <w:rPr>
          <w:color w:val="000000"/>
          <w:szCs w:val="32"/>
        </w:rPr>
      </w:pPr>
      <w:r>
        <w:rPr>
          <w:color w:val="000000"/>
          <w:szCs w:val="32"/>
        </w:rPr>
        <w:t>新建、续建、改扩建</w:t>
      </w:r>
    </w:p>
    <w:p>
      <w:pPr>
        <w:spacing w:line="580" w:lineRule="exact"/>
        <w:ind w:firstLine="640" w:firstLineChars="200"/>
        <w:rPr>
          <w:color w:val="000000"/>
          <w:szCs w:val="32"/>
        </w:rPr>
      </w:pPr>
      <w:r>
        <w:rPr>
          <w:color w:val="000000"/>
          <w:szCs w:val="32"/>
        </w:rPr>
        <w:t>（5）实施年限</w:t>
      </w:r>
    </w:p>
    <w:p>
      <w:pPr>
        <w:spacing w:line="580" w:lineRule="exact"/>
        <w:ind w:firstLine="640" w:firstLineChars="200"/>
        <w:rPr>
          <w:color w:val="000000"/>
          <w:szCs w:val="32"/>
        </w:rPr>
      </w:pPr>
      <w:r>
        <w:rPr>
          <w:color w:val="000000"/>
          <w:szCs w:val="32"/>
        </w:rPr>
        <w:t>建设期控制在1-2年为宜。</w:t>
      </w:r>
    </w:p>
    <w:p>
      <w:pPr>
        <w:spacing w:line="580" w:lineRule="exact"/>
        <w:ind w:firstLine="640" w:firstLineChars="200"/>
        <w:rPr>
          <w:color w:val="000000"/>
          <w:szCs w:val="32"/>
        </w:rPr>
      </w:pPr>
      <w:r>
        <w:rPr>
          <w:color w:val="000000"/>
          <w:szCs w:val="32"/>
        </w:rPr>
        <w:t>（6）估算投资及资金来源初步方案</w:t>
      </w:r>
    </w:p>
    <w:p>
      <w:pPr>
        <w:spacing w:line="580" w:lineRule="exact"/>
        <w:ind w:firstLine="640" w:firstLineChars="200"/>
        <w:rPr>
          <w:color w:val="000000"/>
          <w:szCs w:val="32"/>
        </w:rPr>
      </w:pPr>
      <w:r>
        <w:rPr>
          <w:color w:val="000000"/>
          <w:szCs w:val="32"/>
        </w:rPr>
        <w:t>以企业投资为主，中央预算内投资给予适当补助。中央预算内投资通过定额补助方式予以支持，采取切块方式下达。中央补助比例原则上不超过项目总投资的30%，最低不少于50万元，最高不超过500万元。对于禁养区搬迁、异地重建的规模化养殖场优先给予支持。</w:t>
      </w:r>
    </w:p>
    <w:p>
      <w:pPr>
        <w:spacing w:line="580" w:lineRule="exact"/>
        <w:ind w:firstLine="640" w:firstLineChars="200"/>
        <w:rPr>
          <w:color w:val="000000"/>
          <w:szCs w:val="32"/>
        </w:rPr>
      </w:pPr>
      <w:r>
        <w:rPr>
          <w:color w:val="000000"/>
          <w:szCs w:val="32"/>
        </w:rPr>
        <w:t>（7）经济社会效益</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eastAsia="zh-CN"/>
        </w:rPr>
        <w:t>提高猪场生产能力，提升生物安全防护和粪污资源化利用水平，加快生猪生产恢复。</w:t>
      </w:r>
    </w:p>
    <w:p>
      <w:pPr>
        <w:adjustRightInd w:val="0"/>
        <w:snapToGrid w:val="0"/>
        <w:spacing w:line="580" w:lineRule="exact"/>
        <w:ind w:firstLine="640" w:firstLineChars="200"/>
        <w:outlineLvl w:val="2"/>
        <w:rPr>
          <w:rFonts w:eastAsia="楷体"/>
          <w:color w:val="000000"/>
          <w:szCs w:val="32"/>
        </w:rPr>
      </w:pPr>
      <w:bookmarkStart w:id="453" w:name="_Toc4324"/>
      <w:bookmarkStart w:id="454" w:name="_Toc8345"/>
      <w:bookmarkStart w:id="455" w:name="_Toc8107"/>
      <w:bookmarkStart w:id="456" w:name="_Toc29474"/>
      <w:bookmarkStart w:id="457" w:name="_Toc8473"/>
      <w:bookmarkStart w:id="458" w:name="_Toc31433"/>
      <w:bookmarkStart w:id="459" w:name="_Toc27045"/>
      <w:bookmarkStart w:id="460" w:name="_Toc15355"/>
      <w:bookmarkStart w:id="461" w:name="_Toc24131"/>
      <w:bookmarkStart w:id="462" w:name="_Toc10386"/>
      <w:r>
        <w:rPr>
          <w:rFonts w:eastAsia="楷体"/>
          <w:color w:val="000000"/>
          <w:szCs w:val="32"/>
        </w:rPr>
        <w:t>（三）现代农业支撑体系</w:t>
      </w:r>
      <w:bookmarkEnd w:id="453"/>
      <w:bookmarkEnd w:id="454"/>
      <w:bookmarkEnd w:id="455"/>
      <w:bookmarkEnd w:id="456"/>
      <w:bookmarkEnd w:id="457"/>
      <w:bookmarkEnd w:id="458"/>
      <w:bookmarkEnd w:id="459"/>
      <w:bookmarkEnd w:id="460"/>
      <w:bookmarkEnd w:id="461"/>
      <w:bookmarkEnd w:id="462"/>
    </w:p>
    <w:p>
      <w:pPr>
        <w:spacing w:line="580" w:lineRule="exact"/>
        <w:ind w:firstLine="642" w:firstLineChars="200"/>
        <w:outlineLvl w:val="2"/>
        <w:rPr>
          <w:b/>
          <w:bCs/>
          <w:color w:val="000000"/>
          <w:szCs w:val="32"/>
        </w:rPr>
      </w:pPr>
      <w:bookmarkStart w:id="463" w:name="_Toc23438"/>
      <w:bookmarkStart w:id="464" w:name="_Toc30851"/>
      <w:bookmarkStart w:id="465" w:name="_Toc29014"/>
      <w:bookmarkStart w:id="466" w:name="_Toc12703"/>
      <w:bookmarkStart w:id="467" w:name="_Toc24782"/>
      <w:bookmarkStart w:id="468" w:name="_Toc25271"/>
      <w:bookmarkStart w:id="469" w:name="_Toc26257"/>
      <w:bookmarkStart w:id="470" w:name="_Toc9793"/>
      <w:bookmarkStart w:id="471" w:name="_Toc5379"/>
      <w:bookmarkStart w:id="472" w:name="_Toc5096"/>
      <w:r>
        <w:rPr>
          <w:b/>
          <w:bCs/>
          <w:color w:val="000000"/>
          <w:szCs w:val="32"/>
        </w:rPr>
        <w:t>1.现代种业提升工程项目（农作物种子类）</w:t>
      </w:r>
      <w:bookmarkEnd w:id="463"/>
      <w:bookmarkEnd w:id="464"/>
      <w:bookmarkEnd w:id="465"/>
      <w:bookmarkEnd w:id="466"/>
      <w:bookmarkEnd w:id="467"/>
      <w:bookmarkEnd w:id="468"/>
      <w:bookmarkEnd w:id="469"/>
      <w:bookmarkEnd w:id="470"/>
      <w:bookmarkEnd w:id="471"/>
      <w:bookmarkEnd w:id="472"/>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××县（区）农业农村局</w:t>
      </w:r>
    </w:p>
    <w:p>
      <w:pPr>
        <w:spacing w:line="580" w:lineRule="exact"/>
        <w:ind w:firstLine="640" w:firstLineChars="200"/>
        <w:rPr>
          <w:color w:val="000000"/>
          <w:szCs w:val="32"/>
        </w:rPr>
      </w:pPr>
      <w:r>
        <w:rPr>
          <w:color w:val="000000"/>
          <w:szCs w:val="32"/>
        </w:rPr>
        <w:t>（2）实施范围和条件</w:t>
      </w:r>
    </w:p>
    <w:p>
      <w:pPr>
        <w:adjustRightInd w:val="0"/>
        <w:snapToGrid w:val="0"/>
        <w:spacing w:line="580" w:lineRule="exact"/>
        <w:ind w:firstLine="640" w:firstLineChars="200"/>
        <w:rPr>
          <w:color w:val="000000"/>
          <w:szCs w:val="32"/>
        </w:rPr>
      </w:pPr>
      <w:r>
        <w:rPr>
          <w:color w:val="000000"/>
          <w:szCs w:val="32"/>
        </w:rPr>
        <w:t>在农业农村部认定的国家区域性良种繁育基地范围内，支持部分国家区域性良种繁育基地县（市）加强种子（种苗）基地基础设施、生产加工、监管服务能力建设。项目建成后，近三年种</w:t>
      </w:r>
      <w:r>
        <w:rPr>
          <w:color w:val="000000"/>
          <w:kern w:val="0"/>
          <w:szCs w:val="32"/>
        </w:rPr>
        <w:t>子（种苗）向本区域外调出量应占到基地种子（种苗）生产量的</w:t>
      </w:r>
      <w:r>
        <w:rPr>
          <w:color w:val="000000"/>
          <w:szCs w:val="32"/>
        </w:rPr>
        <w:t>60%以上；饲草良种繁育基地项目主要建设苜蓿、燕麦等优质饲草良种扩繁基地，申报企业需按规定具有相应饲草种子繁育的资质，从事实际生产3年以上，具备较强的自筹资金配套能力和良好的资产、财务状况，具有长期稳定和相对集中的生产用地，近3年内未发生假劣种子问题，项目建成后，良种扩繁基地项目区面积不少于1000亩，育繁推一体化企业优先安排。</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eastAsia="zh-CN"/>
        </w:rPr>
        <w:t xml:space="preserve"> </w:t>
      </w:r>
      <w:r>
        <w:rPr>
          <w:rFonts w:ascii="Times New Roman" w:hAnsi="Times New Roman" w:eastAsia="仿宋_GB2312"/>
          <w:sz w:val="32"/>
          <w:szCs w:val="32"/>
          <w:lang w:val="en-US" w:eastAsia="zh-CN"/>
        </w:rPr>
        <w:t>（3）主要建设内容或规模</w:t>
      </w:r>
    </w:p>
    <w:p>
      <w:pPr>
        <w:adjustRightInd w:val="0"/>
        <w:snapToGrid w:val="0"/>
        <w:spacing w:line="580" w:lineRule="exact"/>
        <w:ind w:firstLine="640" w:firstLineChars="200"/>
        <w:rPr>
          <w:color w:val="000000"/>
          <w:szCs w:val="32"/>
        </w:rPr>
      </w:pPr>
      <w:r>
        <w:rPr>
          <w:color w:val="000000"/>
          <w:szCs w:val="32"/>
        </w:rPr>
        <w:t>种质资源保护利用能力提升项目，包括国家农作物种质资源中期库项目、国家农作物种质资源圃项目、种质资源中转隔离基地项目、农业野生植物原生境保护区项目；农作物育种创新能力提升项目，包括农作物育繁推一体化示范项目、农作物表型与基因型鉴定平台；制（繁）种能力提升项目，包括国家区域性良种繁育基地项目、科研冬（夏）繁育制种基地项目。</w:t>
      </w:r>
    </w:p>
    <w:p>
      <w:pPr>
        <w:adjustRightInd w:val="0"/>
        <w:snapToGrid w:val="0"/>
        <w:spacing w:line="580" w:lineRule="exact"/>
        <w:ind w:firstLine="640" w:firstLineChars="200"/>
        <w:rPr>
          <w:color w:val="000000"/>
          <w:szCs w:val="32"/>
        </w:rPr>
      </w:pPr>
      <w:r>
        <w:rPr>
          <w:color w:val="000000"/>
          <w:szCs w:val="32"/>
        </w:rPr>
        <w:t>近期重点支持杂粮杂豆、蔬菜、饲草国家区域性良种繁育基地项目。项目重点支持区域性良种繁育基地实施土地平整、田间排灌渠系、田间道路及配套设施等工程建设，购置相关仪器设备和农机具，实现旱涝保收；支持种子基地县（市）农业农村主管部门加强物联网系统、种子物流与追溯管理信息体系建设，推进基地实现种子生产、质量监管的信息化和可追溯；支持有条件的种子基地建设种业园区，完善种子晒场、仓库及附属设备、种子质量检验室、农机库房、种子加工车间等加工及仓储设施。</w:t>
      </w:r>
    </w:p>
    <w:p>
      <w:pPr>
        <w:spacing w:line="580" w:lineRule="exact"/>
        <w:ind w:firstLine="640" w:firstLineChars="200"/>
        <w:rPr>
          <w:color w:val="000000"/>
          <w:szCs w:val="32"/>
        </w:rPr>
      </w:pPr>
      <w:r>
        <w:rPr>
          <w:color w:val="000000"/>
          <w:szCs w:val="32"/>
        </w:rPr>
        <w:t>（4）建设性质</w:t>
      </w:r>
    </w:p>
    <w:p>
      <w:pPr>
        <w:spacing w:line="580" w:lineRule="exact"/>
        <w:ind w:firstLine="640" w:firstLineChars="200"/>
        <w:rPr>
          <w:color w:val="000000"/>
          <w:szCs w:val="32"/>
        </w:rPr>
      </w:pPr>
      <w:r>
        <w:rPr>
          <w:color w:val="000000"/>
          <w:szCs w:val="32"/>
        </w:rPr>
        <w:t>新建、续建、改扩建</w:t>
      </w:r>
    </w:p>
    <w:p>
      <w:pPr>
        <w:spacing w:line="580" w:lineRule="exact"/>
        <w:ind w:firstLine="640" w:firstLineChars="200"/>
        <w:rPr>
          <w:color w:val="000000"/>
          <w:szCs w:val="32"/>
        </w:rPr>
      </w:pPr>
      <w:r>
        <w:rPr>
          <w:color w:val="000000"/>
          <w:szCs w:val="32"/>
        </w:rPr>
        <w:t>（5）实施年限</w:t>
      </w:r>
    </w:p>
    <w:p>
      <w:pPr>
        <w:spacing w:line="580" w:lineRule="exact"/>
        <w:ind w:firstLine="640" w:firstLineChars="200"/>
        <w:rPr>
          <w:color w:val="000000"/>
          <w:szCs w:val="32"/>
        </w:rPr>
      </w:pPr>
      <w:r>
        <w:rPr>
          <w:color w:val="000000"/>
          <w:szCs w:val="32"/>
        </w:rPr>
        <w:t>建设期控制在1-2年为宜。</w:t>
      </w:r>
    </w:p>
    <w:p>
      <w:pPr>
        <w:spacing w:line="580" w:lineRule="exact"/>
        <w:ind w:firstLine="640" w:firstLineChars="200"/>
        <w:rPr>
          <w:color w:val="000000"/>
          <w:szCs w:val="32"/>
        </w:rPr>
      </w:pPr>
      <w:r>
        <w:rPr>
          <w:color w:val="000000"/>
          <w:szCs w:val="32"/>
        </w:rPr>
        <w:t>（6）估算投资及资金来源初步方案</w:t>
      </w:r>
    </w:p>
    <w:p>
      <w:pPr>
        <w:adjustRightInd w:val="0"/>
        <w:snapToGrid w:val="0"/>
        <w:spacing w:line="580" w:lineRule="exact"/>
        <w:ind w:firstLine="640" w:firstLineChars="200"/>
        <w:rPr>
          <w:color w:val="000000"/>
          <w:szCs w:val="32"/>
        </w:rPr>
      </w:pPr>
      <w:r>
        <w:rPr>
          <w:color w:val="000000"/>
          <w:szCs w:val="32"/>
        </w:rPr>
        <w:t>项目总投资规模原则上不低于2500万元，其中中央投资占总投资比例不高于40%，中央投资控制在3000万元以内。</w:t>
      </w:r>
    </w:p>
    <w:p>
      <w:pPr>
        <w:spacing w:line="580" w:lineRule="exact"/>
        <w:ind w:firstLine="640" w:firstLineChars="200"/>
        <w:rPr>
          <w:color w:val="000000"/>
          <w:szCs w:val="32"/>
        </w:rPr>
      </w:pPr>
      <w:r>
        <w:rPr>
          <w:color w:val="000000"/>
          <w:szCs w:val="32"/>
        </w:rPr>
        <w:t>（7）经济社会效益</w:t>
      </w:r>
    </w:p>
    <w:p>
      <w:pPr>
        <w:pStyle w:val="2"/>
        <w:widowControl w:val="0"/>
        <w:spacing w:before="0" w:after="0" w:line="580" w:lineRule="exact"/>
        <w:ind w:left="0" w:leftChars="0" w:firstLine="640"/>
        <w:rPr>
          <w:rFonts w:ascii="Times New Roman" w:hAnsi="Times New Roman" w:eastAsia="仿宋_GB2312"/>
          <w:b/>
          <w:bCs/>
          <w:sz w:val="32"/>
          <w:szCs w:val="32"/>
          <w:lang w:val="en-US" w:eastAsia="zh-CN"/>
        </w:rPr>
      </w:pPr>
      <w:r>
        <w:rPr>
          <w:rFonts w:ascii="Times New Roman" w:hAnsi="Times New Roman" w:eastAsia="仿宋_GB2312"/>
          <w:sz w:val="32"/>
          <w:szCs w:val="32"/>
          <w:lang w:eastAsia="zh-CN"/>
        </w:rPr>
        <w:t>提升良种繁育基地、种子（种苗）基地基础设施、生产加工、监管服务能力和规模化、标准化、机械化、集约化和信息化水平。</w:t>
      </w:r>
    </w:p>
    <w:p>
      <w:pPr>
        <w:spacing w:line="580" w:lineRule="exact"/>
        <w:ind w:firstLine="642" w:firstLineChars="200"/>
        <w:outlineLvl w:val="2"/>
        <w:rPr>
          <w:b/>
          <w:bCs/>
          <w:color w:val="000000"/>
          <w:szCs w:val="32"/>
        </w:rPr>
      </w:pPr>
      <w:bookmarkStart w:id="473" w:name="_Toc6976"/>
      <w:bookmarkStart w:id="474" w:name="_Toc1821"/>
      <w:bookmarkStart w:id="475" w:name="_Toc6619"/>
      <w:bookmarkStart w:id="476" w:name="_Toc29567"/>
      <w:bookmarkStart w:id="477" w:name="_Toc17901"/>
      <w:bookmarkStart w:id="478" w:name="_Toc18032"/>
      <w:bookmarkStart w:id="479" w:name="_Toc28941"/>
      <w:bookmarkStart w:id="480" w:name="_Toc18014"/>
      <w:bookmarkStart w:id="481" w:name="_Toc2492"/>
      <w:bookmarkStart w:id="482" w:name="_Toc1608"/>
      <w:r>
        <w:rPr>
          <w:b/>
          <w:bCs/>
          <w:color w:val="000000"/>
          <w:szCs w:val="32"/>
        </w:rPr>
        <w:t>2.现代种业提升工程项目（畜禽良种类）</w:t>
      </w:r>
      <w:bookmarkEnd w:id="473"/>
      <w:bookmarkEnd w:id="474"/>
      <w:bookmarkEnd w:id="475"/>
      <w:bookmarkEnd w:id="476"/>
      <w:bookmarkEnd w:id="477"/>
      <w:bookmarkEnd w:id="478"/>
      <w:bookmarkEnd w:id="479"/>
      <w:bookmarkEnd w:id="480"/>
      <w:bookmarkEnd w:id="481"/>
      <w:bookmarkEnd w:id="482"/>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××县（区）农业农村局</w:t>
      </w:r>
    </w:p>
    <w:p>
      <w:pPr>
        <w:spacing w:line="580" w:lineRule="exact"/>
        <w:ind w:firstLine="640" w:firstLineChars="200"/>
        <w:rPr>
          <w:color w:val="000000"/>
          <w:szCs w:val="32"/>
        </w:rPr>
      </w:pPr>
      <w:r>
        <w:rPr>
          <w:color w:val="000000"/>
          <w:szCs w:val="32"/>
        </w:rPr>
        <w:t>（2）实施范围和条件</w:t>
      </w:r>
    </w:p>
    <w:p>
      <w:pPr>
        <w:spacing w:line="580" w:lineRule="exact"/>
        <w:ind w:firstLine="640" w:firstLineChars="200"/>
        <w:rPr>
          <w:color w:val="000000"/>
          <w:szCs w:val="32"/>
        </w:rPr>
      </w:pPr>
      <w:r>
        <w:rPr>
          <w:color w:val="000000"/>
          <w:szCs w:val="32"/>
        </w:rPr>
        <w:t>重点支持列入《国家级畜禽遗传资源保护名录》尚未建立保种场或保护区的18个畜禽遗传资源种质资源场（区）建设，同时兼顾建设其他列入《国家级畜禽遗传资源保护名录》的畜禽品种资源和部分列入省（区）级保护名录的濒危品种。</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eastAsia="zh-CN"/>
        </w:rPr>
        <w:t xml:space="preserve"> </w:t>
      </w:r>
      <w:r>
        <w:rPr>
          <w:rFonts w:ascii="Times New Roman" w:hAnsi="Times New Roman" w:eastAsia="仿宋_GB2312"/>
          <w:sz w:val="32"/>
          <w:szCs w:val="32"/>
          <w:lang w:val="en-US" w:eastAsia="zh-CN"/>
        </w:rPr>
        <w:t>（3）主要建设内容或规模</w:t>
      </w:r>
    </w:p>
    <w:p>
      <w:pPr>
        <w:spacing w:line="580" w:lineRule="exact"/>
        <w:ind w:firstLine="640" w:firstLineChars="200"/>
        <w:rPr>
          <w:color w:val="000000"/>
          <w:szCs w:val="32"/>
        </w:rPr>
      </w:pPr>
      <w:r>
        <w:rPr>
          <w:color w:val="000000"/>
          <w:szCs w:val="32"/>
        </w:rPr>
        <w:t>建设低温保存设施、标准化畜禽棚舍、孵化厅、药浴池、库房、加工车间、青贮窖等生产性基础设施以及场区道路、污水处理池、围墙等生产性辅助设施，配套畜禽品种保存、生产性能测定、疫病监测净化、防疫、病死畜禽无害化处理等设施设备，构建试验物联网系统和种质资源信息共享网络服务系统，保护区项目可设立界碑、指示牌、宣传牌等区界设施和宣传设施。</w:t>
      </w:r>
    </w:p>
    <w:p>
      <w:pPr>
        <w:spacing w:line="580" w:lineRule="exact"/>
        <w:ind w:firstLine="640" w:firstLineChars="200"/>
        <w:rPr>
          <w:color w:val="000000"/>
          <w:szCs w:val="32"/>
        </w:rPr>
      </w:pPr>
      <w:r>
        <w:rPr>
          <w:color w:val="000000"/>
          <w:szCs w:val="32"/>
        </w:rPr>
        <w:t>（4）建设性质</w:t>
      </w:r>
    </w:p>
    <w:p>
      <w:pPr>
        <w:spacing w:line="580" w:lineRule="exact"/>
        <w:ind w:firstLine="640" w:firstLineChars="200"/>
        <w:rPr>
          <w:color w:val="000000"/>
          <w:szCs w:val="32"/>
        </w:rPr>
      </w:pPr>
      <w:r>
        <w:rPr>
          <w:color w:val="000000"/>
          <w:szCs w:val="32"/>
        </w:rPr>
        <w:t>新建、续建、改扩建</w:t>
      </w:r>
    </w:p>
    <w:p>
      <w:pPr>
        <w:spacing w:line="580" w:lineRule="exact"/>
        <w:ind w:firstLine="640" w:firstLineChars="200"/>
        <w:rPr>
          <w:color w:val="000000"/>
          <w:szCs w:val="32"/>
        </w:rPr>
      </w:pPr>
      <w:r>
        <w:rPr>
          <w:color w:val="000000"/>
          <w:szCs w:val="32"/>
        </w:rPr>
        <w:t>（5）实施年限</w:t>
      </w:r>
    </w:p>
    <w:p>
      <w:pPr>
        <w:spacing w:line="580" w:lineRule="exact"/>
        <w:ind w:firstLine="640" w:firstLineChars="200"/>
        <w:rPr>
          <w:color w:val="000000"/>
          <w:szCs w:val="32"/>
        </w:rPr>
      </w:pPr>
      <w:r>
        <w:rPr>
          <w:color w:val="000000"/>
          <w:szCs w:val="32"/>
        </w:rPr>
        <w:t>建设期控制在1-2年为宜。</w:t>
      </w:r>
    </w:p>
    <w:p>
      <w:pPr>
        <w:spacing w:line="580" w:lineRule="exact"/>
        <w:ind w:firstLine="640" w:firstLineChars="200"/>
        <w:rPr>
          <w:color w:val="000000"/>
          <w:szCs w:val="32"/>
        </w:rPr>
      </w:pPr>
      <w:r>
        <w:rPr>
          <w:color w:val="000000"/>
          <w:szCs w:val="32"/>
        </w:rPr>
        <w:t>（6）估算投资及资金来源初步方案</w:t>
      </w:r>
    </w:p>
    <w:p>
      <w:pPr>
        <w:spacing w:line="580" w:lineRule="exact"/>
        <w:ind w:firstLine="640" w:firstLineChars="200"/>
        <w:rPr>
          <w:color w:val="000000"/>
          <w:szCs w:val="32"/>
        </w:rPr>
      </w:pPr>
      <w:r>
        <w:rPr>
          <w:color w:val="000000"/>
          <w:szCs w:val="32"/>
        </w:rPr>
        <w:t>按照项目投资总规模90%的比例申报中央投资，且中央投资规模不低于1000万元。</w:t>
      </w:r>
    </w:p>
    <w:p>
      <w:pPr>
        <w:spacing w:line="580" w:lineRule="exact"/>
        <w:ind w:firstLine="640" w:firstLineChars="200"/>
        <w:rPr>
          <w:color w:val="000000"/>
          <w:szCs w:val="32"/>
        </w:rPr>
      </w:pPr>
      <w:r>
        <w:rPr>
          <w:color w:val="000000"/>
          <w:szCs w:val="32"/>
        </w:rPr>
        <w:t>（7）经济社会效益</w:t>
      </w:r>
    </w:p>
    <w:p>
      <w:pPr>
        <w:pStyle w:val="2"/>
        <w:widowControl w:val="0"/>
        <w:spacing w:before="0" w:after="0" w:line="580" w:lineRule="exact"/>
        <w:ind w:left="0" w:leftChars="0" w:firstLine="640"/>
        <w:rPr>
          <w:rFonts w:ascii="Times New Roman" w:hAnsi="Times New Roman" w:eastAsia="仿宋_GB2312"/>
          <w:sz w:val="32"/>
          <w:szCs w:val="32"/>
          <w:lang w:eastAsia="zh-CN"/>
        </w:rPr>
      </w:pPr>
      <w:r>
        <w:rPr>
          <w:rFonts w:ascii="Times New Roman" w:hAnsi="Times New Roman" w:eastAsia="仿宋_GB2312"/>
          <w:sz w:val="32"/>
          <w:szCs w:val="32"/>
          <w:lang w:eastAsia="zh-CN"/>
        </w:rPr>
        <w:t>依托畜禽遗传资源保种场和科研单位等，建设完善资源场和保护区，构建以畜禽基因与活体保护、原位与异位保护相结合的畜禽资源保护体系，防止种质资源退化和灭绝。</w:t>
      </w:r>
    </w:p>
    <w:p>
      <w:pPr>
        <w:spacing w:line="580" w:lineRule="exact"/>
        <w:ind w:firstLine="642" w:firstLineChars="200"/>
        <w:outlineLvl w:val="2"/>
        <w:rPr>
          <w:b/>
          <w:bCs/>
          <w:color w:val="000000"/>
          <w:szCs w:val="32"/>
        </w:rPr>
      </w:pPr>
      <w:bookmarkStart w:id="483" w:name="_Toc29642"/>
      <w:bookmarkStart w:id="484" w:name="_Toc8440"/>
      <w:bookmarkStart w:id="485" w:name="_Toc4307"/>
      <w:bookmarkStart w:id="486" w:name="_Toc14798"/>
      <w:bookmarkStart w:id="487" w:name="_Toc8976"/>
      <w:bookmarkStart w:id="488" w:name="_Toc24442"/>
      <w:bookmarkStart w:id="489" w:name="_Toc5328"/>
      <w:bookmarkStart w:id="490" w:name="_Toc21095"/>
      <w:bookmarkStart w:id="491" w:name="_Toc27179"/>
      <w:bookmarkStart w:id="492" w:name="_Toc32593"/>
      <w:r>
        <w:rPr>
          <w:b/>
          <w:bCs/>
          <w:color w:val="000000"/>
          <w:szCs w:val="32"/>
        </w:rPr>
        <w:t>3.现代种业提升工程项目（水产良种类）</w:t>
      </w:r>
      <w:bookmarkEnd w:id="483"/>
      <w:bookmarkEnd w:id="484"/>
      <w:bookmarkEnd w:id="485"/>
      <w:bookmarkEnd w:id="486"/>
      <w:bookmarkEnd w:id="487"/>
      <w:bookmarkEnd w:id="488"/>
      <w:bookmarkEnd w:id="489"/>
      <w:bookmarkEnd w:id="490"/>
      <w:bookmarkEnd w:id="491"/>
      <w:bookmarkEnd w:id="492"/>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××县（区）农业农村局</w:t>
      </w:r>
    </w:p>
    <w:p>
      <w:pPr>
        <w:spacing w:line="580" w:lineRule="exact"/>
        <w:ind w:firstLine="640" w:firstLineChars="200"/>
        <w:rPr>
          <w:color w:val="000000"/>
          <w:szCs w:val="32"/>
        </w:rPr>
      </w:pPr>
      <w:r>
        <w:rPr>
          <w:color w:val="000000"/>
          <w:szCs w:val="32"/>
        </w:rPr>
        <w:t>（2）实施范围和条件</w:t>
      </w:r>
    </w:p>
    <w:p>
      <w:pPr>
        <w:pStyle w:val="2"/>
        <w:widowControl w:val="0"/>
        <w:spacing w:before="0" w:after="0" w:line="580" w:lineRule="exact"/>
        <w:ind w:left="0" w:leftChars="0" w:firstLine="640"/>
        <w:rPr>
          <w:rFonts w:ascii="Times New Roman" w:hAnsi="Times New Roman" w:eastAsia="仿宋_GB2312"/>
          <w:sz w:val="32"/>
          <w:szCs w:val="32"/>
          <w:lang w:eastAsia="zh-CN"/>
        </w:rPr>
      </w:pPr>
      <w:r>
        <w:rPr>
          <w:rFonts w:ascii="Times New Roman" w:hAnsi="Times New Roman" w:eastAsia="仿宋_GB2312"/>
          <w:sz w:val="32"/>
          <w:szCs w:val="32"/>
          <w:lang w:eastAsia="zh-CN"/>
        </w:rPr>
        <w:t>根据现代种业发展的要求，突出薄弱环节，突出主要品种，突出优势区域，系统构建分级分类渔业生物种质资源保存体系要</w:t>
      </w:r>
      <w:r>
        <w:rPr>
          <w:rFonts w:ascii="Times New Roman" w:hAnsi="Times New Roman" w:eastAsia="仿宋_GB2312"/>
          <w:spacing w:val="-6"/>
          <w:sz w:val="32"/>
          <w:szCs w:val="32"/>
          <w:lang w:eastAsia="zh-CN"/>
        </w:rPr>
        <w:t>求，优先支持基础条件好的水产原良种场，建设完善一批种质资源场。项目完成后，水产原良种基础群体保存能力提高50%以上，优质亲本供应数量增加20%以上，种质保存和选育水平明显提升。</w:t>
      </w:r>
    </w:p>
    <w:p>
      <w:pPr>
        <w:pStyle w:val="2"/>
        <w:widowControl w:val="0"/>
        <w:spacing w:before="0" w:after="0" w:line="580" w:lineRule="exact"/>
        <w:ind w:left="0" w:leftChars="0" w:firstLine="640"/>
        <w:rPr>
          <w:rFonts w:ascii="Times New Roman" w:hAnsi="Times New Roman" w:eastAsia="仿宋_GB2312"/>
          <w:sz w:val="32"/>
          <w:szCs w:val="32"/>
          <w:lang w:eastAsia="zh-CN"/>
        </w:rPr>
      </w:pPr>
      <w:r>
        <w:rPr>
          <w:rFonts w:ascii="Times New Roman" w:hAnsi="Times New Roman" w:eastAsia="仿宋_GB2312"/>
          <w:sz w:val="32"/>
          <w:szCs w:val="32"/>
          <w:lang w:eastAsia="zh-CN"/>
        </w:rPr>
        <w:t>重点支持列入《国家重点保护经济水生动植物资源名录（第一批）》（农业部公告第948号）的品种、冷水性鱼类和通过国家审定的水产新品种。项目建设单位应具备省级（含）以上水产原良种场资质和独立法人资质，已取得水域滩涂养殖证和水产种苗生产许可证；具有三年以上申报品种的保种工作基础，配备足够的专业技术人员并有省级以上科研单位或高等院校作为技术依托；项目建设单位为农民专业合作社（组织）的，须具备经工商行政管理部门依法登记并取得农民专业合作社法人营业执照；项目原则上要求固定建筑物在自有土地上集中建设，生产实验用地需自有土地或租期15年以上的租用土地。</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eastAsia="zh-CN"/>
        </w:rPr>
        <w:t xml:space="preserve"> </w:t>
      </w:r>
      <w:r>
        <w:rPr>
          <w:rFonts w:ascii="Times New Roman" w:hAnsi="Times New Roman" w:eastAsia="仿宋_GB2312"/>
          <w:sz w:val="32"/>
          <w:szCs w:val="32"/>
          <w:lang w:val="en-US" w:eastAsia="zh-CN"/>
        </w:rPr>
        <w:t>（3）主要建设内容或规模</w:t>
      </w:r>
    </w:p>
    <w:p>
      <w:pPr>
        <w:spacing w:line="580" w:lineRule="exact"/>
        <w:ind w:firstLine="640" w:firstLineChars="200"/>
        <w:rPr>
          <w:color w:val="000000"/>
          <w:szCs w:val="32"/>
        </w:rPr>
      </w:pPr>
      <w:r>
        <w:rPr>
          <w:color w:val="000000"/>
          <w:szCs w:val="32"/>
        </w:rPr>
        <w:t>主要建设内容包括催产和孵化车间、亲本池、苗种培育池等生产设施，配套进排水、电力、道路等工程，购置常规生物学仪器、水处理系统、养殖设施等。</w:t>
      </w:r>
    </w:p>
    <w:p>
      <w:pPr>
        <w:spacing w:line="580" w:lineRule="exact"/>
        <w:ind w:firstLine="640" w:firstLineChars="200"/>
        <w:rPr>
          <w:color w:val="000000"/>
          <w:szCs w:val="32"/>
        </w:rPr>
      </w:pPr>
      <w:r>
        <w:rPr>
          <w:color w:val="000000"/>
          <w:szCs w:val="32"/>
        </w:rPr>
        <w:t>（4）建设性质</w:t>
      </w:r>
    </w:p>
    <w:p>
      <w:pPr>
        <w:spacing w:line="580" w:lineRule="exact"/>
        <w:ind w:firstLine="640" w:firstLineChars="200"/>
        <w:rPr>
          <w:color w:val="000000"/>
          <w:szCs w:val="32"/>
        </w:rPr>
      </w:pPr>
      <w:r>
        <w:rPr>
          <w:color w:val="000000"/>
          <w:szCs w:val="32"/>
        </w:rPr>
        <w:t>新建、续建、改扩建</w:t>
      </w:r>
    </w:p>
    <w:p>
      <w:pPr>
        <w:spacing w:line="580" w:lineRule="exact"/>
        <w:ind w:firstLine="640" w:firstLineChars="200"/>
        <w:rPr>
          <w:color w:val="000000"/>
          <w:szCs w:val="32"/>
        </w:rPr>
      </w:pPr>
      <w:r>
        <w:rPr>
          <w:color w:val="000000"/>
          <w:szCs w:val="32"/>
        </w:rPr>
        <w:t>（5）实施年限</w:t>
      </w:r>
    </w:p>
    <w:p>
      <w:pPr>
        <w:spacing w:line="580" w:lineRule="exact"/>
        <w:ind w:firstLine="640" w:firstLineChars="200"/>
        <w:rPr>
          <w:color w:val="000000"/>
          <w:szCs w:val="32"/>
        </w:rPr>
      </w:pPr>
      <w:r>
        <w:rPr>
          <w:color w:val="000000"/>
          <w:szCs w:val="32"/>
        </w:rPr>
        <w:t>建设期控制在1-2年为宜。</w:t>
      </w:r>
    </w:p>
    <w:p>
      <w:pPr>
        <w:spacing w:line="580" w:lineRule="exact"/>
        <w:ind w:firstLine="640" w:firstLineChars="200"/>
        <w:rPr>
          <w:color w:val="000000"/>
          <w:szCs w:val="32"/>
        </w:rPr>
      </w:pPr>
      <w:r>
        <w:rPr>
          <w:color w:val="000000"/>
          <w:szCs w:val="32"/>
        </w:rPr>
        <w:t>（6）估算投资及资金来源初步方案</w:t>
      </w:r>
    </w:p>
    <w:p>
      <w:pPr>
        <w:spacing w:line="580" w:lineRule="exact"/>
        <w:ind w:firstLine="640" w:firstLineChars="200"/>
        <w:rPr>
          <w:color w:val="000000"/>
          <w:szCs w:val="32"/>
        </w:rPr>
      </w:pPr>
      <w:r>
        <w:rPr>
          <w:color w:val="000000"/>
          <w:szCs w:val="32"/>
        </w:rPr>
        <w:t>按照项目投资总规模90%的比例申报中央投资，且中央投资规模不低于1000万元。</w:t>
      </w:r>
    </w:p>
    <w:p>
      <w:pPr>
        <w:spacing w:line="580" w:lineRule="exact"/>
        <w:ind w:firstLine="640" w:firstLineChars="200"/>
        <w:rPr>
          <w:color w:val="000000"/>
          <w:szCs w:val="32"/>
        </w:rPr>
      </w:pPr>
      <w:r>
        <w:rPr>
          <w:color w:val="000000"/>
          <w:szCs w:val="32"/>
        </w:rPr>
        <w:t>（7）经济社会效益</w:t>
      </w:r>
    </w:p>
    <w:p>
      <w:pPr>
        <w:pStyle w:val="2"/>
        <w:widowControl w:val="0"/>
        <w:spacing w:before="0" w:after="0" w:line="580" w:lineRule="exact"/>
        <w:ind w:left="0" w:leftChars="0" w:firstLine="640"/>
        <w:rPr>
          <w:rFonts w:ascii="Times New Roman" w:hAnsi="Times New Roman" w:eastAsia="仿宋_GB2312"/>
          <w:b/>
          <w:bCs/>
          <w:sz w:val="32"/>
          <w:szCs w:val="32"/>
          <w:lang w:eastAsia="zh-CN"/>
        </w:rPr>
      </w:pPr>
      <w:r>
        <w:rPr>
          <w:rFonts w:ascii="Times New Roman" w:hAnsi="Times New Roman" w:eastAsia="仿宋_GB2312"/>
          <w:sz w:val="32"/>
          <w:szCs w:val="32"/>
          <w:lang w:eastAsia="zh-CN"/>
        </w:rPr>
        <w:t>水产原良种基础群体保存能力、优质亲本供应数量明显提升。</w:t>
      </w:r>
    </w:p>
    <w:p>
      <w:pPr>
        <w:spacing w:line="580" w:lineRule="exact"/>
        <w:ind w:firstLine="642" w:firstLineChars="200"/>
        <w:outlineLvl w:val="2"/>
        <w:rPr>
          <w:b/>
          <w:bCs/>
          <w:color w:val="000000"/>
          <w:szCs w:val="32"/>
        </w:rPr>
      </w:pPr>
      <w:bookmarkStart w:id="493" w:name="_Toc32373"/>
      <w:bookmarkStart w:id="494" w:name="_Toc5897"/>
      <w:bookmarkStart w:id="495" w:name="_Toc10995"/>
      <w:bookmarkStart w:id="496" w:name="_Toc11909"/>
      <w:bookmarkStart w:id="497" w:name="_Toc15859"/>
      <w:bookmarkStart w:id="498" w:name="_Toc26669"/>
      <w:bookmarkStart w:id="499" w:name="_Toc25040"/>
      <w:bookmarkStart w:id="500" w:name="_Toc22693"/>
      <w:bookmarkStart w:id="501" w:name="_Toc10077"/>
      <w:bookmarkStart w:id="502" w:name="_Toc2530"/>
      <w:r>
        <w:rPr>
          <w:b/>
          <w:bCs/>
          <w:color w:val="000000"/>
          <w:szCs w:val="32"/>
        </w:rPr>
        <w:t>4.动植物保护能力提升工程</w:t>
      </w:r>
      <w:bookmarkEnd w:id="493"/>
      <w:bookmarkEnd w:id="494"/>
      <w:bookmarkEnd w:id="495"/>
      <w:bookmarkEnd w:id="496"/>
      <w:bookmarkEnd w:id="497"/>
      <w:bookmarkEnd w:id="498"/>
      <w:bookmarkEnd w:id="499"/>
      <w:bookmarkEnd w:id="500"/>
      <w:bookmarkEnd w:id="501"/>
      <w:bookmarkEnd w:id="502"/>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××县（区）农业农村局、林业和草原局</w:t>
      </w:r>
    </w:p>
    <w:p>
      <w:pPr>
        <w:spacing w:line="580" w:lineRule="exact"/>
        <w:ind w:firstLine="640" w:firstLineChars="200"/>
        <w:rPr>
          <w:color w:val="000000"/>
          <w:szCs w:val="32"/>
        </w:rPr>
      </w:pPr>
      <w:r>
        <w:rPr>
          <w:color w:val="000000"/>
          <w:szCs w:val="32"/>
        </w:rPr>
        <w:t>（2）实施范围和条件</w:t>
      </w:r>
    </w:p>
    <w:p>
      <w:pPr>
        <w:adjustRightInd w:val="0"/>
        <w:snapToGrid w:val="0"/>
        <w:spacing w:line="580" w:lineRule="exact"/>
        <w:ind w:firstLine="640" w:firstLineChars="200"/>
        <w:rPr>
          <w:color w:val="000000"/>
          <w:szCs w:val="32"/>
        </w:rPr>
      </w:pPr>
      <w:r>
        <w:rPr>
          <w:color w:val="000000"/>
          <w:szCs w:val="32"/>
        </w:rPr>
        <w:t xml:space="preserve">按照《全国动植物保护能力提升工程建设规划（2017-2025年）》总体布局，重点支持实施动物保护能力提升工程（动物疫病监测预警能力、动物防疫技术支撑能力、动物卫生监督能力、动物疫病预防控制能力、兽药质量监察能力等建设项目），                            植物保护能力提升工程（植物有害生物疫情监测建议能力、植物有害生物防控能力、农药风险监测能力等建设项目）。                                                 </w:t>
      </w:r>
    </w:p>
    <w:p>
      <w:pPr>
        <w:pStyle w:val="2"/>
        <w:widowControl w:val="0"/>
        <w:spacing w:before="0" w:after="0" w:line="58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（3）主要建设内容或规模</w:t>
      </w:r>
    </w:p>
    <w:p>
      <w:pPr>
        <w:spacing w:line="580" w:lineRule="exact"/>
        <w:ind w:firstLine="640" w:firstLineChars="200"/>
        <w:rPr>
          <w:color w:val="000000"/>
          <w:szCs w:val="32"/>
        </w:rPr>
      </w:pPr>
      <w:r>
        <w:rPr>
          <w:color w:val="000000"/>
          <w:szCs w:val="32"/>
        </w:rPr>
        <w:t>重点支持动物防疫所需的各类实验室建设、实验仪器设施设备购置，植物保护所需的信息采集传输和监测预警、相关实验和质量检验仪器设备购置等。</w:t>
      </w:r>
    </w:p>
    <w:p>
      <w:pPr>
        <w:spacing w:line="580" w:lineRule="exact"/>
        <w:ind w:firstLine="640" w:firstLineChars="200"/>
        <w:rPr>
          <w:color w:val="000000"/>
          <w:szCs w:val="32"/>
        </w:rPr>
      </w:pPr>
      <w:r>
        <w:rPr>
          <w:color w:val="000000"/>
          <w:szCs w:val="32"/>
        </w:rPr>
        <w:t>（4）建设性质</w:t>
      </w:r>
    </w:p>
    <w:p>
      <w:pPr>
        <w:spacing w:line="580" w:lineRule="exact"/>
        <w:ind w:firstLine="640" w:firstLineChars="200"/>
        <w:rPr>
          <w:color w:val="000000"/>
          <w:szCs w:val="32"/>
        </w:rPr>
      </w:pPr>
      <w:r>
        <w:rPr>
          <w:color w:val="000000"/>
          <w:szCs w:val="32"/>
        </w:rPr>
        <w:t>新建、续建、改扩建</w:t>
      </w:r>
    </w:p>
    <w:p>
      <w:pPr>
        <w:spacing w:line="580" w:lineRule="exact"/>
        <w:ind w:firstLine="640" w:firstLineChars="200"/>
        <w:rPr>
          <w:color w:val="000000"/>
          <w:szCs w:val="32"/>
        </w:rPr>
      </w:pPr>
      <w:r>
        <w:rPr>
          <w:color w:val="000000"/>
          <w:szCs w:val="32"/>
        </w:rPr>
        <w:t>（5）实施年限</w:t>
      </w:r>
    </w:p>
    <w:p>
      <w:pPr>
        <w:spacing w:line="580" w:lineRule="exact"/>
        <w:ind w:firstLine="640" w:firstLineChars="200"/>
        <w:rPr>
          <w:color w:val="000000"/>
          <w:szCs w:val="32"/>
        </w:rPr>
      </w:pPr>
      <w:r>
        <w:rPr>
          <w:color w:val="000000"/>
          <w:szCs w:val="32"/>
        </w:rPr>
        <w:t>建设期控制在1-2年为宜。</w:t>
      </w:r>
    </w:p>
    <w:p>
      <w:pPr>
        <w:spacing w:line="580" w:lineRule="exact"/>
        <w:ind w:firstLine="640" w:firstLineChars="200"/>
        <w:rPr>
          <w:color w:val="000000"/>
          <w:szCs w:val="32"/>
        </w:rPr>
      </w:pPr>
      <w:r>
        <w:rPr>
          <w:color w:val="000000"/>
          <w:szCs w:val="32"/>
        </w:rPr>
        <w:t>（6）估算投资及资金来源初步方案</w:t>
      </w:r>
    </w:p>
    <w:p>
      <w:pPr>
        <w:spacing w:line="580" w:lineRule="exact"/>
        <w:ind w:firstLine="640" w:firstLineChars="200"/>
        <w:rPr>
          <w:color w:val="000000"/>
          <w:szCs w:val="32"/>
        </w:rPr>
      </w:pPr>
      <w:r>
        <w:rPr>
          <w:color w:val="000000"/>
          <w:szCs w:val="32"/>
        </w:rPr>
        <w:t>按照项目投资总规模90%的比例申报中央投资。</w:t>
      </w:r>
    </w:p>
    <w:p>
      <w:pPr>
        <w:spacing w:line="580" w:lineRule="exact"/>
        <w:ind w:firstLine="640" w:firstLineChars="200"/>
        <w:rPr>
          <w:color w:val="000000"/>
          <w:szCs w:val="32"/>
        </w:rPr>
      </w:pPr>
      <w:r>
        <w:rPr>
          <w:color w:val="000000"/>
          <w:szCs w:val="32"/>
        </w:rPr>
        <w:t>（7）经济社会效益</w:t>
      </w:r>
    </w:p>
    <w:p>
      <w:pPr>
        <w:pStyle w:val="2"/>
        <w:widowControl w:val="0"/>
        <w:spacing w:before="0" w:after="0" w:line="580" w:lineRule="exact"/>
        <w:ind w:left="0" w:leftChars="0" w:firstLine="640"/>
        <w:rPr>
          <w:rFonts w:ascii="Times New Roman" w:hAnsi="Times New Roman" w:eastAsia="仿宋_GB2312"/>
          <w:sz w:val="32"/>
          <w:szCs w:val="32"/>
          <w:lang w:eastAsia="zh-CN"/>
        </w:rPr>
      </w:pPr>
      <w:r>
        <w:rPr>
          <w:rFonts w:ascii="Times New Roman" w:hAnsi="Times New Roman" w:eastAsia="仿宋_GB2312"/>
          <w:sz w:val="32"/>
          <w:szCs w:val="32"/>
          <w:lang w:eastAsia="zh-CN"/>
        </w:rPr>
        <w:t>提升动植物疫病虫害监测预警、预防控制等能力。</w:t>
      </w:r>
    </w:p>
    <w:p>
      <w:pPr>
        <w:adjustRightInd w:val="0"/>
        <w:snapToGrid w:val="0"/>
        <w:spacing w:line="580" w:lineRule="exact"/>
        <w:ind w:firstLine="640" w:firstLineChars="200"/>
        <w:outlineLvl w:val="2"/>
        <w:rPr>
          <w:b/>
          <w:bCs/>
          <w:color w:val="000000"/>
          <w:szCs w:val="32"/>
        </w:rPr>
      </w:pPr>
      <w:bookmarkStart w:id="503" w:name="_Toc20540"/>
      <w:bookmarkStart w:id="504" w:name="_Toc10714"/>
      <w:bookmarkStart w:id="505" w:name="_Toc13949"/>
      <w:bookmarkStart w:id="506" w:name="_Toc24031"/>
      <w:bookmarkStart w:id="507" w:name="_Toc1650"/>
      <w:bookmarkStart w:id="508" w:name="_Toc31559"/>
      <w:bookmarkStart w:id="509" w:name="_Toc1124"/>
      <w:bookmarkStart w:id="510" w:name="_Toc17254"/>
      <w:bookmarkStart w:id="511" w:name="_Toc17453"/>
      <w:bookmarkStart w:id="512" w:name="_Toc12571"/>
      <w:r>
        <w:rPr>
          <w:rFonts w:eastAsia="楷体"/>
          <w:color w:val="000000"/>
          <w:szCs w:val="32"/>
        </w:rPr>
        <w:t>（四）农村人居环境整治</w:t>
      </w:r>
      <w:bookmarkEnd w:id="503"/>
      <w:bookmarkEnd w:id="504"/>
      <w:bookmarkEnd w:id="505"/>
      <w:bookmarkEnd w:id="506"/>
      <w:bookmarkEnd w:id="507"/>
      <w:bookmarkEnd w:id="508"/>
      <w:bookmarkEnd w:id="509"/>
      <w:bookmarkEnd w:id="510"/>
      <w:bookmarkEnd w:id="511"/>
      <w:r>
        <w:rPr>
          <w:rFonts w:eastAsia="楷体"/>
          <w:color w:val="000000"/>
          <w:szCs w:val="32"/>
        </w:rPr>
        <w:t>工程</w:t>
      </w:r>
      <w:bookmarkEnd w:id="512"/>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××县（区）农业农村局</w:t>
      </w:r>
    </w:p>
    <w:p>
      <w:pPr>
        <w:spacing w:line="580" w:lineRule="exact"/>
        <w:ind w:firstLine="640" w:firstLineChars="200"/>
        <w:rPr>
          <w:color w:val="000000"/>
          <w:szCs w:val="32"/>
        </w:rPr>
      </w:pPr>
      <w:r>
        <w:rPr>
          <w:color w:val="000000"/>
          <w:szCs w:val="32"/>
        </w:rPr>
        <w:t>（2）实施范围和条件</w:t>
      </w:r>
    </w:p>
    <w:p>
      <w:pPr>
        <w:adjustRightInd w:val="0"/>
        <w:snapToGrid w:val="0"/>
        <w:spacing w:line="580" w:lineRule="exact"/>
        <w:ind w:firstLine="640" w:firstLineChars="200"/>
        <w:rPr>
          <w:color w:val="000000"/>
          <w:szCs w:val="32"/>
        </w:rPr>
      </w:pPr>
      <w:r>
        <w:rPr>
          <w:color w:val="000000"/>
          <w:szCs w:val="32"/>
        </w:rPr>
        <w:t xml:space="preserve">除银川市辖区以外的县区。                                                </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eastAsia="zh-CN"/>
        </w:rPr>
        <w:t xml:space="preserve"> </w:t>
      </w:r>
      <w:r>
        <w:rPr>
          <w:rFonts w:ascii="Times New Roman" w:hAnsi="Times New Roman" w:eastAsia="仿宋_GB2312"/>
          <w:sz w:val="32"/>
          <w:szCs w:val="32"/>
          <w:lang w:val="en-US" w:eastAsia="zh-CN"/>
        </w:rPr>
        <w:t>（3）主要建设内容或规模</w:t>
      </w:r>
    </w:p>
    <w:p>
      <w:pPr>
        <w:spacing w:line="580" w:lineRule="exact"/>
        <w:ind w:firstLine="640" w:firstLineChars="200"/>
        <w:rPr>
          <w:color w:val="000000"/>
          <w:szCs w:val="32"/>
        </w:rPr>
      </w:pPr>
      <w:r>
        <w:rPr>
          <w:color w:val="000000"/>
          <w:szCs w:val="32"/>
        </w:rPr>
        <w:t xml:space="preserve">重点围绕中办、国办印发的《农村人居环境整治三年行动方案》，推进农村生活垃圾、生活污水、厕所粪污治理和村容村貌提升。 </w:t>
      </w:r>
    </w:p>
    <w:p>
      <w:pPr>
        <w:spacing w:line="580" w:lineRule="exact"/>
        <w:ind w:firstLine="640" w:firstLineChars="200"/>
        <w:rPr>
          <w:color w:val="000000"/>
          <w:szCs w:val="32"/>
        </w:rPr>
      </w:pPr>
      <w:r>
        <w:rPr>
          <w:color w:val="000000"/>
          <w:szCs w:val="32"/>
        </w:rPr>
        <w:t>（4）建设性质</w:t>
      </w:r>
    </w:p>
    <w:p>
      <w:pPr>
        <w:spacing w:line="580" w:lineRule="exact"/>
        <w:ind w:firstLine="640" w:firstLineChars="200"/>
        <w:rPr>
          <w:color w:val="000000"/>
          <w:szCs w:val="32"/>
        </w:rPr>
      </w:pPr>
      <w:r>
        <w:rPr>
          <w:color w:val="000000"/>
          <w:szCs w:val="32"/>
        </w:rPr>
        <w:t>新建、续建</w:t>
      </w:r>
    </w:p>
    <w:p>
      <w:pPr>
        <w:spacing w:line="580" w:lineRule="exact"/>
        <w:ind w:firstLine="640" w:firstLineChars="200"/>
        <w:rPr>
          <w:color w:val="000000"/>
          <w:szCs w:val="32"/>
        </w:rPr>
      </w:pPr>
      <w:r>
        <w:rPr>
          <w:color w:val="000000"/>
          <w:szCs w:val="32"/>
        </w:rPr>
        <w:t>（5）实施年限</w:t>
      </w:r>
    </w:p>
    <w:p>
      <w:pPr>
        <w:spacing w:line="580" w:lineRule="exact"/>
        <w:ind w:firstLine="640" w:firstLineChars="200"/>
        <w:rPr>
          <w:color w:val="000000"/>
          <w:szCs w:val="32"/>
        </w:rPr>
      </w:pPr>
      <w:r>
        <w:rPr>
          <w:color w:val="000000"/>
          <w:szCs w:val="32"/>
        </w:rPr>
        <w:t>建设期控制在1-2年为宜。</w:t>
      </w:r>
    </w:p>
    <w:p>
      <w:pPr>
        <w:spacing w:line="580" w:lineRule="exact"/>
        <w:ind w:firstLine="640" w:firstLineChars="200"/>
        <w:rPr>
          <w:color w:val="000000"/>
          <w:szCs w:val="32"/>
        </w:rPr>
      </w:pPr>
      <w:r>
        <w:rPr>
          <w:color w:val="000000"/>
          <w:szCs w:val="32"/>
        </w:rPr>
        <w:t>（6）估算投资及资金来源初步方案</w:t>
      </w:r>
    </w:p>
    <w:p>
      <w:pPr>
        <w:spacing w:line="580" w:lineRule="exact"/>
        <w:ind w:firstLine="640" w:firstLineChars="200"/>
        <w:rPr>
          <w:color w:val="000000"/>
          <w:szCs w:val="32"/>
        </w:rPr>
      </w:pPr>
      <w:r>
        <w:rPr>
          <w:color w:val="000000"/>
          <w:szCs w:val="32"/>
        </w:rPr>
        <w:t>以</w:t>
      </w:r>
      <w:r>
        <w:rPr>
          <w:color w:val="000000"/>
          <w:spacing w:val="-6"/>
          <w:szCs w:val="32"/>
        </w:rPr>
        <w:t>县（市、区）为单位，到县投资规模不低于2000万元，符合要求第二年继续支持的，安排到县投资规模不低于1000万元。</w:t>
      </w:r>
    </w:p>
    <w:p>
      <w:pPr>
        <w:spacing w:line="580" w:lineRule="exact"/>
        <w:ind w:firstLine="640" w:firstLineChars="200"/>
        <w:rPr>
          <w:color w:val="000000"/>
          <w:szCs w:val="32"/>
        </w:rPr>
      </w:pPr>
      <w:r>
        <w:rPr>
          <w:color w:val="000000"/>
          <w:szCs w:val="32"/>
        </w:rPr>
        <w:t>（7）经济社会效益</w:t>
      </w:r>
    </w:p>
    <w:p>
      <w:pPr>
        <w:pStyle w:val="2"/>
        <w:widowControl w:val="0"/>
        <w:spacing w:before="0" w:after="0" w:line="580" w:lineRule="exact"/>
        <w:ind w:left="0" w:leftChars="0" w:firstLine="640"/>
        <w:rPr>
          <w:rFonts w:ascii="Times New Roman" w:hAnsi="Times New Roman" w:eastAsia="仿宋_GB2312"/>
          <w:sz w:val="32"/>
          <w:szCs w:val="32"/>
          <w:lang w:eastAsia="zh-CN"/>
        </w:rPr>
      </w:pPr>
      <w:r>
        <w:rPr>
          <w:rFonts w:ascii="Times New Roman" w:hAnsi="Times New Roman" w:eastAsia="仿宋_GB2312"/>
          <w:sz w:val="32"/>
          <w:szCs w:val="32"/>
          <w:lang w:eastAsia="zh-CN"/>
        </w:rPr>
        <w:t>提高农村生活垃圾、生活污水处理率，实施户厕改造，提升农村人均环境质量。</w:t>
      </w:r>
    </w:p>
    <w:p>
      <w:pPr>
        <w:spacing w:line="580" w:lineRule="exact"/>
        <w:outlineLvl w:val="2"/>
        <w:rPr>
          <w:b/>
          <w:bCs/>
          <w:color w:val="000000"/>
          <w:szCs w:val="32"/>
        </w:rPr>
      </w:pPr>
      <w:r>
        <w:rPr>
          <w:color w:val="000000"/>
          <w:szCs w:val="32"/>
        </w:rPr>
        <w:t xml:space="preserve">   </w:t>
      </w:r>
      <w:r>
        <w:rPr>
          <w:rFonts w:eastAsia="楷体"/>
          <w:color w:val="000000"/>
          <w:szCs w:val="32"/>
        </w:rPr>
        <w:t xml:space="preserve"> </w:t>
      </w:r>
      <w:bookmarkStart w:id="513" w:name="_Toc11988"/>
      <w:r>
        <w:rPr>
          <w:rFonts w:eastAsia="楷体"/>
          <w:color w:val="000000"/>
          <w:szCs w:val="32"/>
        </w:rPr>
        <w:t>（五）以工代赈项目</w:t>
      </w:r>
      <w:bookmarkEnd w:id="513"/>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各县区农业农村局、水务局、建设交通局等</w:t>
      </w:r>
    </w:p>
    <w:p>
      <w:pPr>
        <w:spacing w:line="580" w:lineRule="exact"/>
        <w:ind w:firstLine="640" w:firstLineChars="200"/>
        <w:rPr>
          <w:color w:val="000000"/>
          <w:szCs w:val="32"/>
        </w:rPr>
      </w:pPr>
      <w:r>
        <w:rPr>
          <w:color w:val="000000"/>
          <w:szCs w:val="32"/>
        </w:rPr>
        <w:t>（2）实施范围和条件</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eastAsia="zh-CN"/>
        </w:rPr>
        <w:t>重点投向国家集中连片特殊困难地区县和国家扶贫开发工作重点县。</w:t>
      </w:r>
    </w:p>
    <w:p>
      <w:pPr>
        <w:spacing w:line="580" w:lineRule="exact"/>
        <w:ind w:firstLine="640" w:firstLineChars="200"/>
        <w:rPr>
          <w:color w:val="000000"/>
          <w:szCs w:val="32"/>
        </w:rPr>
      </w:pPr>
      <w:r>
        <w:rPr>
          <w:color w:val="000000"/>
          <w:szCs w:val="32"/>
        </w:rPr>
        <w:t>（3）主要建设内容或规模</w:t>
      </w:r>
    </w:p>
    <w:p>
      <w:pPr>
        <w:adjustRightInd w:val="0"/>
        <w:snapToGrid w:val="0"/>
        <w:spacing w:line="580" w:lineRule="exact"/>
        <w:ind w:firstLine="640" w:firstLineChars="200"/>
        <w:rPr>
          <w:color w:val="000000"/>
          <w:szCs w:val="32"/>
        </w:rPr>
      </w:pPr>
      <w:r>
        <w:rPr>
          <w:color w:val="000000"/>
          <w:szCs w:val="32"/>
        </w:rPr>
        <w:t>重点建设农田水利、乡村道路、小流域治理、片区综合开发、村容村貌整治等工程，进一步提升贫困地区农业基础设施水平，切实改善贫困群众生产生活条件和人居环境，带动贫困群众增收脱贫。</w:t>
      </w:r>
    </w:p>
    <w:p>
      <w:pPr>
        <w:spacing w:line="580" w:lineRule="exact"/>
        <w:ind w:firstLine="640" w:firstLineChars="200"/>
        <w:rPr>
          <w:color w:val="000000"/>
          <w:szCs w:val="32"/>
        </w:rPr>
      </w:pPr>
      <w:r>
        <w:rPr>
          <w:color w:val="000000"/>
          <w:szCs w:val="32"/>
        </w:rPr>
        <w:t>（4）建设性质</w:t>
      </w:r>
    </w:p>
    <w:p>
      <w:pPr>
        <w:spacing w:line="580" w:lineRule="exact"/>
        <w:rPr>
          <w:color w:val="000000"/>
          <w:szCs w:val="32"/>
        </w:rPr>
      </w:pPr>
      <w:r>
        <w:rPr>
          <w:color w:val="000000"/>
          <w:szCs w:val="32"/>
        </w:rPr>
        <w:t xml:space="preserve">    新建</w:t>
      </w:r>
    </w:p>
    <w:p>
      <w:pPr>
        <w:spacing w:line="580" w:lineRule="exact"/>
        <w:ind w:firstLine="640" w:firstLineChars="200"/>
        <w:rPr>
          <w:color w:val="000000"/>
          <w:szCs w:val="32"/>
        </w:rPr>
      </w:pPr>
      <w:r>
        <w:rPr>
          <w:color w:val="000000"/>
          <w:szCs w:val="32"/>
        </w:rPr>
        <w:t>（5）实施年限</w:t>
      </w:r>
    </w:p>
    <w:p>
      <w:pPr>
        <w:spacing w:line="580" w:lineRule="exact"/>
        <w:ind w:firstLine="640" w:firstLineChars="200"/>
        <w:rPr>
          <w:color w:val="000000"/>
          <w:szCs w:val="32"/>
        </w:rPr>
      </w:pPr>
      <w:r>
        <w:rPr>
          <w:color w:val="000000"/>
          <w:szCs w:val="32"/>
        </w:rPr>
        <w:t>建设期控制在1年为宜。</w:t>
      </w:r>
    </w:p>
    <w:p>
      <w:pPr>
        <w:spacing w:line="580" w:lineRule="exact"/>
        <w:ind w:firstLine="640" w:firstLineChars="200"/>
        <w:rPr>
          <w:color w:val="000000"/>
          <w:szCs w:val="32"/>
        </w:rPr>
      </w:pPr>
      <w:r>
        <w:rPr>
          <w:color w:val="000000"/>
          <w:szCs w:val="32"/>
        </w:rPr>
        <w:t>（6）估算投资及资金来源初步方案</w:t>
      </w:r>
    </w:p>
    <w:p>
      <w:pPr>
        <w:spacing w:line="580" w:lineRule="exact"/>
        <w:ind w:firstLine="640" w:firstLineChars="200"/>
        <w:rPr>
          <w:color w:val="000000"/>
          <w:szCs w:val="32"/>
        </w:rPr>
      </w:pPr>
      <w:r>
        <w:rPr>
          <w:color w:val="000000"/>
          <w:szCs w:val="32"/>
        </w:rPr>
        <w:t>中央预算内投资通过定额补助方式予以支持，采取切块方式下达。发展改革部门在统筹各渠道资金和建设任务需求的基础上，以县为单位，因地制宜、实事求是、科学设计，并足额落实地方投资。</w:t>
      </w:r>
    </w:p>
    <w:p>
      <w:pPr>
        <w:spacing w:line="580" w:lineRule="exact"/>
        <w:ind w:firstLine="640" w:firstLineChars="200"/>
        <w:rPr>
          <w:color w:val="000000"/>
          <w:szCs w:val="32"/>
        </w:rPr>
      </w:pPr>
      <w:r>
        <w:rPr>
          <w:color w:val="000000"/>
          <w:szCs w:val="32"/>
        </w:rPr>
        <w:t>（7）经济社会效益</w:t>
      </w:r>
    </w:p>
    <w:p>
      <w:pPr>
        <w:spacing w:line="580" w:lineRule="exact"/>
        <w:ind w:firstLine="640" w:firstLineChars="200"/>
        <w:rPr>
          <w:color w:val="000000"/>
          <w:szCs w:val="32"/>
        </w:rPr>
      </w:pPr>
      <w:r>
        <w:rPr>
          <w:color w:val="000000"/>
          <w:szCs w:val="32"/>
        </w:rPr>
        <w:t>改善贫困人口生产生活条件，改善贫困地区发展环境、生态环境和人居环境，引导当地建档立卡贫困人口参加以工代赈工程建设增加收入，增强贫困群众自我发展能力。</w:t>
      </w:r>
    </w:p>
    <w:p>
      <w:pPr>
        <w:spacing w:line="580" w:lineRule="exact"/>
        <w:ind w:firstLine="640" w:firstLineChars="200"/>
        <w:outlineLvl w:val="1"/>
        <w:rPr>
          <w:rFonts w:eastAsia="黑体"/>
          <w:color w:val="000000"/>
          <w:szCs w:val="32"/>
        </w:rPr>
      </w:pPr>
      <w:bookmarkStart w:id="514" w:name="_Toc2094"/>
      <w:bookmarkStart w:id="515" w:name="_Toc4931"/>
      <w:bookmarkStart w:id="516" w:name="_Toc20849"/>
      <w:bookmarkStart w:id="517" w:name="_Toc815"/>
      <w:bookmarkStart w:id="518" w:name="_Toc30258"/>
      <w:bookmarkStart w:id="519" w:name="_Toc9795"/>
      <w:bookmarkStart w:id="520" w:name="_Toc13010"/>
      <w:bookmarkStart w:id="521" w:name="_Toc24294"/>
      <w:bookmarkStart w:id="522" w:name="_Toc2763"/>
      <w:bookmarkStart w:id="523" w:name="_Toc17575"/>
      <w:r>
        <w:rPr>
          <w:rFonts w:eastAsia="黑体"/>
          <w:color w:val="000000"/>
          <w:szCs w:val="32"/>
        </w:rPr>
        <w:t>二、林业和草原建设</w:t>
      </w:r>
      <w:bookmarkEnd w:id="514"/>
      <w:bookmarkEnd w:id="515"/>
      <w:bookmarkEnd w:id="516"/>
      <w:bookmarkEnd w:id="517"/>
      <w:bookmarkEnd w:id="518"/>
      <w:bookmarkEnd w:id="519"/>
      <w:bookmarkEnd w:id="520"/>
      <w:bookmarkEnd w:id="521"/>
      <w:bookmarkEnd w:id="522"/>
      <w:bookmarkEnd w:id="523"/>
    </w:p>
    <w:p>
      <w:pPr>
        <w:spacing w:line="580" w:lineRule="exact"/>
        <w:ind w:firstLine="640" w:firstLineChars="200"/>
        <w:outlineLvl w:val="2"/>
        <w:rPr>
          <w:rFonts w:eastAsia="楷体"/>
          <w:color w:val="000000"/>
          <w:szCs w:val="32"/>
        </w:rPr>
      </w:pPr>
      <w:bookmarkStart w:id="524" w:name="_Toc10799"/>
      <w:bookmarkStart w:id="525" w:name="_Toc11502"/>
      <w:bookmarkStart w:id="526" w:name="_Toc20330"/>
      <w:bookmarkStart w:id="527" w:name="_Toc1389"/>
      <w:bookmarkStart w:id="528" w:name="_Toc27716"/>
      <w:bookmarkStart w:id="529" w:name="_Toc3586"/>
      <w:bookmarkStart w:id="530" w:name="_Toc22552"/>
      <w:bookmarkStart w:id="531" w:name="_Toc14628"/>
      <w:bookmarkStart w:id="532" w:name="_Toc32364"/>
      <w:bookmarkStart w:id="533" w:name="_Toc15998"/>
      <w:r>
        <w:rPr>
          <w:rFonts w:eastAsia="楷体"/>
          <w:color w:val="000000"/>
          <w:szCs w:val="32"/>
        </w:rPr>
        <w:t>（一）森林资源培育</w:t>
      </w:r>
      <w:bookmarkEnd w:id="524"/>
      <w:bookmarkEnd w:id="525"/>
      <w:bookmarkEnd w:id="526"/>
      <w:bookmarkEnd w:id="527"/>
      <w:bookmarkEnd w:id="528"/>
      <w:bookmarkEnd w:id="529"/>
      <w:bookmarkEnd w:id="530"/>
      <w:bookmarkEnd w:id="531"/>
      <w:bookmarkEnd w:id="532"/>
      <w:bookmarkEnd w:id="533"/>
    </w:p>
    <w:p>
      <w:pPr>
        <w:spacing w:line="580" w:lineRule="exact"/>
        <w:ind w:firstLine="642" w:firstLineChars="200"/>
        <w:outlineLvl w:val="2"/>
        <w:rPr>
          <w:b/>
          <w:bCs/>
          <w:color w:val="000000"/>
          <w:szCs w:val="32"/>
        </w:rPr>
      </w:pPr>
      <w:bookmarkStart w:id="534" w:name="_Toc12181"/>
      <w:bookmarkStart w:id="535" w:name="_Toc6795"/>
      <w:bookmarkStart w:id="536" w:name="_Toc15198"/>
      <w:bookmarkStart w:id="537" w:name="_Toc10990"/>
      <w:bookmarkStart w:id="538" w:name="_Toc12885"/>
      <w:bookmarkStart w:id="539" w:name="_Toc23133"/>
      <w:bookmarkStart w:id="540" w:name="_Toc25523"/>
      <w:bookmarkStart w:id="541" w:name="_Toc14457"/>
      <w:bookmarkStart w:id="542" w:name="_Toc1717"/>
      <w:bookmarkStart w:id="543" w:name="_Toc26276"/>
      <w:r>
        <w:rPr>
          <w:b/>
          <w:bCs/>
          <w:color w:val="000000"/>
          <w:szCs w:val="32"/>
        </w:rPr>
        <w:t>三北防护林工程、天然林资源保护工程</w:t>
      </w:r>
      <w:bookmarkEnd w:id="534"/>
      <w:bookmarkEnd w:id="535"/>
      <w:bookmarkEnd w:id="536"/>
      <w:bookmarkEnd w:id="537"/>
      <w:bookmarkEnd w:id="538"/>
      <w:bookmarkEnd w:id="539"/>
      <w:bookmarkEnd w:id="540"/>
      <w:bookmarkEnd w:id="541"/>
      <w:bookmarkEnd w:id="542"/>
      <w:bookmarkEnd w:id="543"/>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××县林业和草原局</w:t>
      </w:r>
    </w:p>
    <w:p>
      <w:pPr>
        <w:spacing w:line="580" w:lineRule="exact"/>
        <w:ind w:firstLine="640" w:firstLineChars="200"/>
        <w:rPr>
          <w:color w:val="000000"/>
          <w:szCs w:val="32"/>
        </w:rPr>
      </w:pPr>
      <w:r>
        <w:rPr>
          <w:color w:val="000000"/>
          <w:szCs w:val="32"/>
        </w:rPr>
        <w:t>（2）主要建设内容或规模</w:t>
      </w:r>
    </w:p>
    <w:p>
      <w:pPr>
        <w:spacing w:line="580" w:lineRule="exact"/>
        <w:ind w:firstLine="640" w:firstLineChars="200"/>
        <w:rPr>
          <w:color w:val="000000"/>
          <w:szCs w:val="32"/>
        </w:rPr>
      </w:pPr>
      <w:r>
        <w:rPr>
          <w:color w:val="000000"/>
          <w:szCs w:val="32"/>
        </w:rPr>
        <w:t>根据国家发展改革委、国家林草局关于三北防护林工程、天然林资源保护工程的部署，按照自治区绿化委员会年度造林计划和自治区党委办公厅、人民政府办公厅《关于印发&lt;落实生态立区战略推进大规模国土绿化行动方案&gt;的通知》，根据《造林技术规程GB/T15776-2016》有关标准，实施人工造林和封山育林，人工造林包括新造乔木林、灌木林、退化林修复等内容。</w:t>
      </w:r>
    </w:p>
    <w:p>
      <w:pPr>
        <w:spacing w:line="580" w:lineRule="exact"/>
        <w:ind w:firstLine="640" w:firstLineChars="200"/>
        <w:rPr>
          <w:color w:val="000000"/>
          <w:szCs w:val="32"/>
        </w:rPr>
      </w:pPr>
      <w:r>
        <w:rPr>
          <w:color w:val="000000"/>
          <w:szCs w:val="32"/>
        </w:rPr>
        <w:t>（3）建设性质</w:t>
      </w:r>
    </w:p>
    <w:p>
      <w:pPr>
        <w:spacing w:line="580" w:lineRule="exact"/>
        <w:ind w:firstLine="640" w:firstLineChars="200"/>
        <w:rPr>
          <w:color w:val="000000"/>
          <w:szCs w:val="32"/>
        </w:rPr>
      </w:pPr>
      <w:r>
        <w:rPr>
          <w:color w:val="000000"/>
          <w:szCs w:val="32"/>
        </w:rPr>
        <w:t>新建</w:t>
      </w:r>
    </w:p>
    <w:p>
      <w:pPr>
        <w:spacing w:line="580" w:lineRule="exact"/>
        <w:ind w:firstLine="640" w:firstLineChars="200"/>
        <w:rPr>
          <w:color w:val="000000"/>
          <w:szCs w:val="32"/>
        </w:rPr>
      </w:pPr>
      <w:r>
        <w:rPr>
          <w:color w:val="000000"/>
          <w:szCs w:val="32"/>
        </w:rPr>
        <w:t>（4）实施年限</w:t>
      </w:r>
    </w:p>
    <w:p>
      <w:pPr>
        <w:spacing w:line="580" w:lineRule="exact"/>
        <w:ind w:firstLine="640" w:firstLineChars="200"/>
        <w:rPr>
          <w:color w:val="000000"/>
          <w:szCs w:val="32"/>
        </w:rPr>
      </w:pPr>
      <w:r>
        <w:rPr>
          <w:color w:val="000000"/>
          <w:szCs w:val="32"/>
        </w:rPr>
        <w:t>建设期控制在1年为宜。</w:t>
      </w:r>
    </w:p>
    <w:p>
      <w:pPr>
        <w:spacing w:line="580" w:lineRule="exact"/>
        <w:ind w:firstLine="640" w:firstLineChars="200"/>
        <w:rPr>
          <w:color w:val="000000"/>
          <w:szCs w:val="32"/>
        </w:rPr>
      </w:pPr>
      <w:r>
        <w:rPr>
          <w:color w:val="000000"/>
          <w:szCs w:val="32"/>
        </w:rPr>
        <w:t>（5）估算投资</w:t>
      </w:r>
    </w:p>
    <w:p>
      <w:pPr>
        <w:spacing w:line="580" w:lineRule="exact"/>
        <w:ind w:firstLine="640" w:firstLineChars="200"/>
        <w:rPr>
          <w:color w:val="000000"/>
          <w:szCs w:val="32"/>
        </w:rPr>
      </w:pPr>
      <w:r>
        <w:rPr>
          <w:color w:val="000000"/>
          <w:szCs w:val="32"/>
        </w:rPr>
        <w:t>单个项目总投资控制在500万元以上。工程体量大的项目可采取一次性规划，分期实施，单个立项的方式分批次建设。</w:t>
      </w:r>
    </w:p>
    <w:p>
      <w:pPr>
        <w:spacing w:line="580" w:lineRule="exact"/>
        <w:ind w:firstLine="640" w:firstLineChars="200"/>
        <w:rPr>
          <w:color w:val="000000"/>
          <w:szCs w:val="32"/>
        </w:rPr>
      </w:pPr>
      <w:r>
        <w:rPr>
          <w:color w:val="000000"/>
          <w:szCs w:val="32"/>
        </w:rPr>
        <w:t>（6）资金来源初步方案</w:t>
      </w:r>
    </w:p>
    <w:p>
      <w:pPr>
        <w:spacing w:line="580" w:lineRule="exact"/>
        <w:ind w:firstLine="640" w:firstLineChars="200"/>
        <w:rPr>
          <w:color w:val="000000"/>
          <w:szCs w:val="32"/>
        </w:rPr>
      </w:pPr>
      <w:r>
        <w:rPr>
          <w:color w:val="000000"/>
          <w:szCs w:val="32"/>
        </w:rPr>
        <w:t>中央预算内投资通过定额补助方式予以支持，采取切块方式下达，补助标准以国家发展改革委下达的计划文件为准。自治区、市县林业和草原部门统筹国家和自治区财政造林资金，以县为单位，因地制宜、实事求是、科学设计，并足额落实地方投资。</w:t>
      </w:r>
    </w:p>
    <w:p>
      <w:pPr>
        <w:spacing w:line="580" w:lineRule="exact"/>
        <w:ind w:firstLine="640" w:firstLineChars="200"/>
        <w:rPr>
          <w:color w:val="000000"/>
          <w:szCs w:val="32"/>
        </w:rPr>
      </w:pPr>
      <w:r>
        <w:rPr>
          <w:color w:val="000000"/>
          <w:szCs w:val="32"/>
        </w:rPr>
        <w:t>（7）经济社会效益</w:t>
      </w:r>
    </w:p>
    <w:p>
      <w:pPr>
        <w:spacing w:line="580" w:lineRule="exact"/>
        <w:ind w:firstLine="640" w:firstLineChars="200"/>
        <w:rPr>
          <w:color w:val="000000"/>
          <w:szCs w:val="32"/>
        </w:rPr>
      </w:pPr>
      <w:r>
        <w:rPr>
          <w:color w:val="000000"/>
          <w:szCs w:val="32"/>
        </w:rPr>
        <w:t>通过林业建设提高森林覆盖率和林木郁闭度，净化空气、调节气候，涵养水源、防风防沙，庇护农田、提高农田产出效益，保护生物多样性。同时改善人居环境，带动生态旅游发展。</w:t>
      </w:r>
    </w:p>
    <w:p>
      <w:pPr>
        <w:spacing w:line="580" w:lineRule="exact"/>
        <w:ind w:firstLine="640" w:firstLineChars="200"/>
        <w:outlineLvl w:val="2"/>
        <w:rPr>
          <w:b/>
          <w:bCs/>
          <w:color w:val="000000"/>
          <w:szCs w:val="32"/>
        </w:rPr>
      </w:pPr>
      <w:bookmarkStart w:id="544" w:name="_Toc9453"/>
      <w:bookmarkStart w:id="545" w:name="_Toc16150"/>
      <w:bookmarkStart w:id="546" w:name="_Toc13670"/>
      <w:bookmarkStart w:id="547" w:name="_Toc14779"/>
      <w:bookmarkStart w:id="548" w:name="_Toc32422"/>
      <w:bookmarkStart w:id="549" w:name="_Toc6191"/>
      <w:bookmarkStart w:id="550" w:name="_Toc22638"/>
      <w:bookmarkStart w:id="551" w:name="_Toc5734"/>
      <w:bookmarkStart w:id="552" w:name="_Toc31151"/>
      <w:bookmarkStart w:id="553" w:name="_Toc12848"/>
      <w:r>
        <w:rPr>
          <w:rFonts w:eastAsia="楷体"/>
          <w:color w:val="000000"/>
          <w:szCs w:val="32"/>
        </w:rPr>
        <w:t>（二）退耕还林还草</w:t>
      </w:r>
      <w:bookmarkEnd w:id="544"/>
      <w:bookmarkEnd w:id="545"/>
      <w:bookmarkEnd w:id="546"/>
      <w:bookmarkEnd w:id="547"/>
      <w:bookmarkEnd w:id="548"/>
      <w:bookmarkEnd w:id="549"/>
      <w:bookmarkEnd w:id="550"/>
      <w:bookmarkEnd w:id="551"/>
      <w:bookmarkEnd w:id="552"/>
      <w:r>
        <w:rPr>
          <w:rFonts w:eastAsia="楷体"/>
          <w:color w:val="000000"/>
          <w:szCs w:val="32"/>
        </w:rPr>
        <w:t>工程</w:t>
      </w:r>
      <w:bookmarkEnd w:id="553"/>
    </w:p>
    <w:p>
      <w:pPr>
        <w:spacing w:line="580" w:lineRule="exact"/>
        <w:ind w:firstLine="640" w:firstLineChars="200"/>
        <w:rPr>
          <w:color w:val="000000"/>
          <w:szCs w:val="32"/>
        </w:rPr>
      </w:pPr>
      <w:r>
        <w:rPr>
          <w:color w:val="000000"/>
          <w:szCs w:val="32"/>
        </w:rPr>
        <w:t>（1）建设单位</w:t>
      </w:r>
    </w:p>
    <w:p>
      <w:pPr>
        <w:spacing w:line="580" w:lineRule="exact"/>
        <w:ind w:firstLine="640" w:firstLineChars="200"/>
        <w:rPr>
          <w:color w:val="000000"/>
          <w:szCs w:val="32"/>
        </w:rPr>
      </w:pPr>
      <w:r>
        <w:rPr>
          <w:color w:val="000000"/>
          <w:szCs w:val="32"/>
        </w:rPr>
        <w:t>××县林业和草原局</w:t>
      </w:r>
    </w:p>
    <w:p>
      <w:pPr>
        <w:spacing w:line="580" w:lineRule="exact"/>
        <w:ind w:firstLine="640" w:firstLineChars="200"/>
        <w:rPr>
          <w:color w:val="000000"/>
          <w:szCs w:val="32"/>
        </w:rPr>
      </w:pPr>
      <w:r>
        <w:rPr>
          <w:color w:val="000000"/>
          <w:szCs w:val="32"/>
        </w:rPr>
        <w:t>（2）主要建设内容或规模</w:t>
      </w:r>
    </w:p>
    <w:p>
      <w:pPr>
        <w:spacing w:line="580" w:lineRule="exact"/>
        <w:ind w:firstLine="640" w:firstLineChars="200"/>
        <w:rPr>
          <w:color w:val="000000"/>
          <w:szCs w:val="32"/>
        </w:rPr>
      </w:pPr>
      <w:r>
        <w:rPr>
          <w:color w:val="000000"/>
          <w:szCs w:val="32"/>
        </w:rPr>
        <w:t>根据国家发展改革委、林草局、自然资源部、财政部关于退耕还林还草工程的部署，根据国家《新一轮退耕还林还草总体方案》《退耕还林条例》等规定，实施退耕还林还草工程。实施范围包括：经国务院批准的25度以上坡耕地（含基本农田）、严重沙化耕地、重要水源地15-25度坡耕地、陡坡梯田、严重污染耕地，不得占用基本农田。退耕还林地鼓励因地制宜种植适应性强、效益好的生态经济林。</w:t>
      </w:r>
    </w:p>
    <w:p>
      <w:pPr>
        <w:spacing w:line="580" w:lineRule="exact"/>
        <w:ind w:firstLine="640" w:firstLineChars="200"/>
        <w:rPr>
          <w:color w:val="000000"/>
          <w:szCs w:val="32"/>
        </w:rPr>
      </w:pPr>
      <w:r>
        <w:rPr>
          <w:color w:val="000000"/>
          <w:szCs w:val="32"/>
        </w:rPr>
        <w:t>（3）建设性质</w:t>
      </w:r>
    </w:p>
    <w:p>
      <w:pPr>
        <w:spacing w:line="580" w:lineRule="exact"/>
        <w:ind w:firstLine="640" w:firstLineChars="200"/>
        <w:rPr>
          <w:color w:val="000000"/>
          <w:szCs w:val="32"/>
        </w:rPr>
      </w:pPr>
      <w:r>
        <w:rPr>
          <w:color w:val="000000"/>
          <w:szCs w:val="32"/>
        </w:rPr>
        <w:t>新建</w:t>
      </w:r>
    </w:p>
    <w:p>
      <w:pPr>
        <w:spacing w:line="580" w:lineRule="exact"/>
        <w:ind w:firstLine="640" w:firstLineChars="200"/>
        <w:rPr>
          <w:color w:val="000000"/>
          <w:szCs w:val="32"/>
        </w:rPr>
      </w:pPr>
      <w:r>
        <w:rPr>
          <w:color w:val="000000"/>
          <w:szCs w:val="32"/>
        </w:rPr>
        <w:t>（4）实施年限</w:t>
      </w:r>
    </w:p>
    <w:p>
      <w:pPr>
        <w:spacing w:line="580" w:lineRule="exact"/>
        <w:ind w:firstLine="640" w:firstLineChars="200"/>
        <w:rPr>
          <w:color w:val="000000"/>
          <w:szCs w:val="32"/>
        </w:rPr>
      </w:pPr>
      <w:r>
        <w:rPr>
          <w:color w:val="000000"/>
          <w:szCs w:val="32"/>
        </w:rPr>
        <w:t>建设期控制在1年以内为宜。由县级人民政府落实退耕还林植被管护责任。</w:t>
      </w:r>
    </w:p>
    <w:p>
      <w:pPr>
        <w:spacing w:line="580" w:lineRule="exact"/>
        <w:ind w:firstLine="640" w:firstLineChars="200"/>
        <w:rPr>
          <w:color w:val="000000"/>
          <w:szCs w:val="32"/>
        </w:rPr>
      </w:pPr>
      <w:r>
        <w:rPr>
          <w:color w:val="000000"/>
          <w:szCs w:val="32"/>
        </w:rPr>
        <w:t>（5）估算投资</w:t>
      </w:r>
    </w:p>
    <w:p>
      <w:pPr>
        <w:spacing w:line="580" w:lineRule="exact"/>
        <w:ind w:firstLine="640" w:firstLineChars="200"/>
        <w:rPr>
          <w:color w:val="000000"/>
          <w:szCs w:val="32"/>
        </w:rPr>
      </w:pPr>
      <w:r>
        <w:rPr>
          <w:color w:val="000000"/>
          <w:szCs w:val="32"/>
        </w:rPr>
        <w:t>单个项目总投资控制在500万元以上。工程体量大的项目可采取一次性规划，分期实施，单个立项的方式分批次建设。</w:t>
      </w:r>
    </w:p>
    <w:p>
      <w:pPr>
        <w:spacing w:line="580" w:lineRule="exact"/>
        <w:ind w:firstLine="640" w:firstLineChars="200"/>
        <w:rPr>
          <w:color w:val="000000"/>
          <w:szCs w:val="32"/>
        </w:rPr>
      </w:pPr>
      <w:r>
        <w:rPr>
          <w:color w:val="000000"/>
          <w:szCs w:val="32"/>
        </w:rPr>
        <w:t>（6）资金来源初步方案</w:t>
      </w:r>
    </w:p>
    <w:p>
      <w:pPr>
        <w:spacing w:line="580" w:lineRule="exact"/>
        <w:ind w:firstLine="640" w:firstLineChars="200"/>
        <w:rPr>
          <w:color w:val="000000"/>
          <w:szCs w:val="32"/>
        </w:rPr>
      </w:pPr>
      <w:r>
        <w:rPr>
          <w:color w:val="000000"/>
          <w:szCs w:val="32"/>
        </w:rPr>
        <w:t>中央预算内投资通过定额补助方式予以支持，采取切块方式下达，补助标准以国家发展改革委下达的计划文件为准。自治区、市县林业和草原部门统筹国家和自治区相关补助资金，以县为单位，因地制宜、实事求是、科学设计，并足额落实地方投资。</w:t>
      </w:r>
    </w:p>
    <w:p>
      <w:pPr>
        <w:spacing w:line="580" w:lineRule="exact"/>
        <w:ind w:firstLine="640" w:firstLineChars="200"/>
        <w:rPr>
          <w:color w:val="000000"/>
          <w:szCs w:val="32"/>
        </w:rPr>
      </w:pPr>
      <w:r>
        <w:rPr>
          <w:color w:val="000000"/>
          <w:szCs w:val="32"/>
        </w:rPr>
        <w:t>（7）经济社会效益</w:t>
      </w:r>
    </w:p>
    <w:p>
      <w:pPr>
        <w:spacing w:line="580" w:lineRule="exact"/>
        <w:ind w:firstLine="640" w:firstLineChars="200"/>
        <w:rPr>
          <w:color w:val="000000"/>
          <w:szCs w:val="32"/>
        </w:rPr>
      </w:pPr>
      <w:r>
        <w:rPr>
          <w:color w:val="000000"/>
          <w:szCs w:val="32"/>
        </w:rPr>
        <w:t>通过实施退耕还林还草提高项目区森林覆盖率和植被覆盖度，涵养水源、净化水质、防治水土流失。同时带动地方经济发展和农民增收，鼓励优先购买当地农民苗木，农户享受退耕还林补助，并参加项目建设获取劳务报酬获得多重受益。</w:t>
      </w:r>
    </w:p>
    <w:p>
      <w:pPr>
        <w:spacing w:line="580" w:lineRule="exact"/>
        <w:ind w:firstLine="642" w:firstLineChars="200"/>
        <w:outlineLvl w:val="2"/>
        <w:rPr>
          <w:b/>
          <w:bCs/>
          <w:color w:val="000000"/>
          <w:szCs w:val="32"/>
        </w:rPr>
      </w:pPr>
      <w:bookmarkStart w:id="554" w:name="_Toc3152"/>
      <w:bookmarkStart w:id="555" w:name="_Toc21466"/>
      <w:bookmarkStart w:id="556" w:name="_Toc2805"/>
      <w:bookmarkStart w:id="557" w:name="_Toc12583"/>
      <w:bookmarkStart w:id="558" w:name="_Toc5039"/>
      <w:bookmarkStart w:id="559" w:name="_Toc31332"/>
      <w:bookmarkStart w:id="560" w:name="_Toc3094"/>
      <w:bookmarkStart w:id="561" w:name="_Toc12687"/>
      <w:bookmarkStart w:id="562" w:name="_Toc7272"/>
      <w:bookmarkStart w:id="563" w:name="_Toc12945"/>
      <w:r>
        <w:rPr>
          <w:b/>
          <w:bCs/>
          <w:color w:val="000000"/>
          <w:szCs w:val="32"/>
        </w:rPr>
        <w:t>（三）退牧还草</w:t>
      </w:r>
      <w:bookmarkEnd w:id="554"/>
      <w:bookmarkEnd w:id="555"/>
      <w:bookmarkEnd w:id="556"/>
      <w:bookmarkEnd w:id="557"/>
      <w:bookmarkEnd w:id="558"/>
      <w:bookmarkEnd w:id="559"/>
      <w:bookmarkEnd w:id="560"/>
      <w:bookmarkEnd w:id="561"/>
      <w:bookmarkEnd w:id="562"/>
      <w:r>
        <w:rPr>
          <w:b/>
          <w:bCs/>
          <w:color w:val="000000"/>
          <w:szCs w:val="32"/>
        </w:rPr>
        <w:t>工程</w:t>
      </w:r>
      <w:bookmarkEnd w:id="563"/>
    </w:p>
    <w:p>
      <w:pPr>
        <w:spacing w:line="580" w:lineRule="exact"/>
        <w:ind w:firstLine="640" w:firstLineChars="200"/>
        <w:rPr>
          <w:color w:val="000000"/>
          <w:szCs w:val="32"/>
        </w:rPr>
      </w:pPr>
      <w:r>
        <w:rPr>
          <w:color w:val="000000"/>
          <w:szCs w:val="32"/>
        </w:rPr>
        <w:t>（1）建设单位</w:t>
      </w:r>
    </w:p>
    <w:p>
      <w:pPr>
        <w:spacing w:line="580" w:lineRule="exact"/>
        <w:ind w:firstLine="640" w:firstLineChars="200"/>
        <w:rPr>
          <w:color w:val="000000"/>
          <w:szCs w:val="32"/>
        </w:rPr>
      </w:pPr>
      <w:r>
        <w:rPr>
          <w:color w:val="000000"/>
          <w:szCs w:val="32"/>
        </w:rPr>
        <w:t>××县林业和草原局</w:t>
      </w:r>
    </w:p>
    <w:p>
      <w:pPr>
        <w:spacing w:line="580" w:lineRule="exact"/>
        <w:ind w:firstLine="640" w:firstLineChars="200"/>
        <w:rPr>
          <w:color w:val="000000"/>
          <w:szCs w:val="32"/>
        </w:rPr>
      </w:pPr>
      <w:r>
        <w:rPr>
          <w:color w:val="000000"/>
          <w:szCs w:val="32"/>
        </w:rPr>
        <w:t>（2）主要建设内容或规模</w:t>
      </w:r>
    </w:p>
    <w:p>
      <w:pPr>
        <w:spacing w:line="580" w:lineRule="exact"/>
        <w:ind w:firstLine="640" w:firstLineChars="200"/>
        <w:rPr>
          <w:color w:val="000000"/>
          <w:szCs w:val="32"/>
        </w:rPr>
      </w:pPr>
      <w:r>
        <w:rPr>
          <w:color w:val="000000"/>
          <w:szCs w:val="32"/>
        </w:rPr>
        <w:t>根据国家发展改革委、林草局关于退牧还草工作部署，按照《退牧还草工程项目管理办法（试行）》有关规定组织实施，通过人工种草、沙化退化草原和毒害草治理等，改良草原质量。</w:t>
      </w:r>
    </w:p>
    <w:p>
      <w:pPr>
        <w:spacing w:line="580" w:lineRule="exact"/>
        <w:ind w:firstLine="640" w:firstLineChars="200"/>
        <w:rPr>
          <w:color w:val="000000"/>
          <w:szCs w:val="32"/>
        </w:rPr>
      </w:pPr>
      <w:r>
        <w:rPr>
          <w:color w:val="000000"/>
          <w:szCs w:val="32"/>
        </w:rPr>
        <w:t>（3）建设性质</w:t>
      </w:r>
    </w:p>
    <w:p>
      <w:pPr>
        <w:spacing w:line="580" w:lineRule="exact"/>
        <w:ind w:firstLine="640" w:firstLineChars="200"/>
        <w:rPr>
          <w:color w:val="000000"/>
          <w:szCs w:val="32"/>
        </w:rPr>
      </w:pPr>
      <w:r>
        <w:rPr>
          <w:color w:val="000000"/>
          <w:szCs w:val="32"/>
        </w:rPr>
        <w:t>新建</w:t>
      </w:r>
    </w:p>
    <w:p>
      <w:pPr>
        <w:spacing w:line="580" w:lineRule="exact"/>
        <w:ind w:firstLine="640" w:firstLineChars="200"/>
        <w:rPr>
          <w:color w:val="000000"/>
          <w:szCs w:val="32"/>
        </w:rPr>
      </w:pPr>
      <w:r>
        <w:rPr>
          <w:color w:val="000000"/>
          <w:szCs w:val="32"/>
        </w:rPr>
        <w:t>（4）实施年限</w:t>
      </w:r>
    </w:p>
    <w:p>
      <w:pPr>
        <w:spacing w:line="580" w:lineRule="exact"/>
        <w:ind w:firstLine="640" w:firstLineChars="200"/>
        <w:rPr>
          <w:color w:val="000000"/>
          <w:szCs w:val="32"/>
        </w:rPr>
      </w:pPr>
      <w:r>
        <w:rPr>
          <w:color w:val="000000"/>
          <w:szCs w:val="32"/>
        </w:rPr>
        <w:t>建设期控制在1年以内为宜。</w:t>
      </w:r>
    </w:p>
    <w:p>
      <w:pPr>
        <w:spacing w:line="580" w:lineRule="exact"/>
        <w:ind w:firstLine="640" w:firstLineChars="200"/>
        <w:rPr>
          <w:color w:val="000000"/>
          <w:szCs w:val="32"/>
        </w:rPr>
      </w:pPr>
      <w:r>
        <w:rPr>
          <w:color w:val="000000"/>
          <w:szCs w:val="32"/>
        </w:rPr>
        <w:t>（5）估算投资</w:t>
      </w:r>
    </w:p>
    <w:p>
      <w:pPr>
        <w:spacing w:line="580" w:lineRule="exact"/>
        <w:ind w:firstLine="640" w:firstLineChars="200"/>
        <w:rPr>
          <w:color w:val="000000"/>
          <w:szCs w:val="32"/>
        </w:rPr>
      </w:pPr>
      <w:r>
        <w:rPr>
          <w:color w:val="000000"/>
          <w:szCs w:val="32"/>
        </w:rPr>
        <w:t>单个项目总投资控制在500万元以上。工程体量大的项目可采取一次性规划，分期实施，单个立项的方式分批次建设。</w:t>
      </w:r>
    </w:p>
    <w:p>
      <w:pPr>
        <w:spacing w:line="580" w:lineRule="exact"/>
        <w:ind w:firstLine="640" w:firstLineChars="200"/>
        <w:rPr>
          <w:color w:val="000000"/>
          <w:szCs w:val="32"/>
        </w:rPr>
      </w:pPr>
      <w:r>
        <w:rPr>
          <w:color w:val="000000"/>
          <w:szCs w:val="32"/>
        </w:rPr>
        <w:t>（6）资金来源初步方案</w:t>
      </w:r>
    </w:p>
    <w:p>
      <w:pPr>
        <w:spacing w:line="580" w:lineRule="exact"/>
        <w:ind w:firstLine="640" w:firstLineChars="200"/>
        <w:rPr>
          <w:color w:val="000000"/>
          <w:szCs w:val="32"/>
        </w:rPr>
      </w:pPr>
      <w:r>
        <w:rPr>
          <w:color w:val="000000"/>
          <w:szCs w:val="32"/>
        </w:rPr>
        <w:t>中央预算内投资通过定额补助方式予以支持，采取切块方式下达，补助标准以国家发展改革委下达的投资计划文件为准。自</w:t>
      </w:r>
      <w:r>
        <w:rPr>
          <w:color w:val="000000"/>
          <w:spacing w:val="-6"/>
          <w:szCs w:val="32"/>
        </w:rPr>
        <w:t>治区、市县林业和草原部门统筹国家和自治区相关补助资金，以县为单位，因地制宜、实事求是、科学设计，并足额落实地方投资</w:t>
      </w:r>
      <w:r>
        <w:rPr>
          <w:color w:val="000000"/>
          <w:szCs w:val="32"/>
        </w:rPr>
        <w:t>。</w:t>
      </w:r>
    </w:p>
    <w:p>
      <w:pPr>
        <w:spacing w:line="580" w:lineRule="exact"/>
        <w:ind w:firstLine="640" w:firstLineChars="200"/>
        <w:rPr>
          <w:color w:val="000000"/>
          <w:szCs w:val="32"/>
        </w:rPr>
      </w:pPr>
      <w:r>
        <w:rPr>
          <w:color w:val="000000"/>
          <w:szCs w:val="32"/>
        </w:rPr>
        <w:t>（7）经济社会效益</w:t>
      </w:r>
    </w:p>
    <w:p>
      <w:pPr>
        <w:spacing w:line="580" w:lineRule="exact"/>
        <w:ind w:firstLine="640" w:firstLineChars="200"/>
        <w:rPr>
          <w:color w:val="000000"/>
          <w:szCs w:val="32"/>
        </w:rPr>
      </w:pPr>
      <w:r>
        <w:rPr>
          <w:color w:val="000000"/>
          <w:szCs w:val="32"/>
        </w:rPr>
        <w:t>通过实施退牧还草改善项目区生态环境，提高植被覆盖度，遏制和缩减土地沙化，降低沙化程度，防风防沙、改善气候环境，提高草原生态质量和生物多样性，同时带动地方经济发展和农民增收，促进畜牧业发展。</w:t>
      </w:r>
    </w:p>
    <w:p>
      <w:pPr>
        <w:spacing w:line="580" w:lineRule="exact"/>
        <w:ind w:firstLine="640" w:firstLineChars="200"/>
        <w:outlineLvl w:val="1"/>
        <w:rPr>
          <w:rFonts w:eastAsia="黑体"/>
          <w:color w:val="000000"/>
          <w:szCs w:val="32"/>
        </w:rPr>
      </w:pPr>
      <w:bookmarkStart w:id="564" w:name="_Toc21228"/>
      <w:bookmarkStart w:id="565" w:name="_Toc5477"/>
      <w:bookmarkStart w:id="566" w:name="_Toc7093"/>
      <w:bookmarkStart w:id="567" w:name="_Toc15574"/>
      <w:bookmarkStart w:id="568" w:name="_Toc13509"/>
      <w:bookmarkStart w:id="569" w:name="_Toc13563"/>
      <w:bookmarkStart w:id="570" w:name="_Toc29503"/>
      <w:bookmarkStart w:id="571" w:name="_Toc25927"/>
      <w:bookmarkStart w:id="572" w:name="_Toc14178"/>
      <w:bookmarkStart w:id="573" w:name="_Toc30563"/>
      <w:r>
        <w:rPr>
          <w:rFonts w:eastAsia="黑体"/>
          <w:color w:val="000000"/>
          <w:szCs w:val="32"/>
        </w:rPr>
        <w:t>三、水利领域</w:t>
      </w:r>
      <w:bookmarkEnd w:id="564"/>
      <w:bookmarkEnd w:id="565"/>
      <w:bookmarkEnd w:id="566"/>
      <w:bookmarkEnd w:id="567"/>
      <w:bookmarkEnd w:id="568"/>
      <w:bookmarkEnd w:id="569"/>
      <w:bookmarkEnd w:id="570"/>
      <w:bookmarkEnd w:id="571"/>
      <w:bookmarkEnd w:id="572"/>
      <w:bookmarkEnd w:id="573"/>
    </w:p>
    <w:p>
      <w:pPr>
        <w:spacing w:line="580" w:lineRule="exact"/>
        <w:ind w:firstLine="640" w:firstLineChars="200"/>
        <w:outlineLvl w:val="2"/>
        <w:rPr>
          <w:rFonts w:eastAsia="楷体"/>
          <w:color w:val="000000"/>
          <w:szCs w:val="32"/>
        </w:rPr>
      </w:pPr>
      <w:bookmarkStart w:id="574" w:name="_Toc31921"/>
      <w:bookmarkStart w:id="575" w:name="_Toc7175"/>
      <w:bookmarkStart w:id="576" w:name="_Toc17926"/>
      <w:bookmarkStart w:id="577" w:name="_Toc22128"/>
      <w:bookmarkStart w:id="578" w:name="_Toc14320"/>
      <w:bookmarkStart w:id="579" w:name="_Toc7176"/>
      <w:bookmarkStart w:id="580" w:name="_Toc497"/>
      <w:bookmarkStart w:id="581" w:name="_Toc19142"/>
      <w:bookmarkStart w:id="582" w:name="_Toc4430"/>
      <w:bookmarkStart w:id="583" w:name="_Toc21376"/>
      <w:r>
        <w:rPr>
          <w:rFonts w:eastAsia="楷体"/>
          <w:color w:val="000000"/>
          <w:szCs w:val="32"/>
        </w:rPr>
        <w:t>（一）重大水利工程</w:t>
      </w:r>
      <w:bookmarkEnd w:id="574"/>
      <w:bookmarkEnd w:id="575"/>
      <w:bookmarkEnd w:id="576"/>
      <w:bookmarkEnd w:id="577"/>
      <w:bookmarkEnd w:id="578"/>
      <w:bookmarkEnd w:id="579"/>
      <w:bookmarkEnd w:id="580"/>
      <w:bookmarkEnd w:id="581"/>
      <w:bookmarkEnd w:id="582"/>
      <w:bookmarkEnd w:id="583"/>
    </w:p>
    <w:p>
      <w:pPr>
        <w:spacing w:line="580" w:lineRule="exact"/>
        <w:ind w:firstLine="642" w:firstLineChars="200"/>
        <w:outlineLvl w:val="2"/>
        <w:rPr>
          <w:b/>
          <w:bCs/>
          <w:color w:val="000000"/>
          <w:szCs w:val="32"/>
        </w:rPr>
      </w:pPr>
      <w:bookmarkStart w:id="584" w:name="_Toc28279"/>
      <w:bookmarkStart w:id="585" w:name="_Toc3541"/>
      <w:bookmarkStart w:id="586" w:name="_Toc12439"/>
      <w:bookmarkStart w:id="587" w:name="_Toc17518"/>
      <w:bookmarkStart w:id="588" w:name="_Toc7886"/>
      <w:bookmarkStart w:id="589" w:name="_Toc20504"/>
      <w:bookmarkStart w:id="590" w:name="_Toc30293"/>
      <w:bookmarkStart w:id="591" w:name="_Toc29364"/>
      <w:bookmarkStart w:id="592" w:name="_Toc7233"/>
      <w:bookmarkStart w:id="593" w:name="_Toc2591"/>
      <w:r>
        <w:rPr>
          <w:b/>
          <w:bCs/>
          <w:color w:val="000000"/>
          <w:szCs w:val="32"/>
        </w:rPr>
        <w:t>1.大中型灌区续建配套节水改造工程</w:t>
      </w:r>
      <w:bookmarkEnd w:id="584"/>
      <w:bookmarkEnd w:id="585"/>
      <w:bookmarkEnd w:id="586"/>
      <w:bookmarkEnd w:id="587"/>
      <w:bookmarkEnd w:id="588"/>
      <w:bookmarkEnd w:id="589"/>
      <w:bookmarkEnd w:id="590"/>
      <w:bookmarkEnd w:id="591"/>
      <w:bookmarkEnd w:id="592"/>
      <w:bookmarkEnd w:id="593"/>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640"/>
        <w:rPr>
          <w:rFonts w:ascii="Times New Roman" w:hAnsi="Times New Roman" w:eastAsia="仿宋_GB2312"/>
          <w:spacing w:val="-8"/>
          <w:sz w:val="32"/>
          <w:szCs w:val="32"/>
          <w:lang w:val="en-US" w:eastAsia="zh-CN"/>
        </w:rPr>
      </w:pPr>
      <w:r>
        <w:rPr>
          <w:rFonts w:ascii="Times New Roman" w:hAnsi="Times New Roman" w:eastAsia="仿宋_GB2312"/>
          <w:sz w:val="32"/>
          <w:szCs w:val="32"/>
          <w:lang w:val="en-US" w:eastAsia="zh-CN"/>
        </w:rPr>
        <w:t>自</w:t>
      </w:r>
      <w:r>
        <w:rPr>
          <w:rFonts w:ascii="Times New Roman" w:hAnsi="Times New Roman" w:eastAsia="仿宋_GB2312"/>
          <w:spacing w:val="-8"/>
          <w:sz w:val="32"/>
          <w:szCs w:val="32"/>
          <w:lang w:val="en-US" w:eastAsia="zh-CN"/>
        </w:rPr>
        <w:t>治区水利工程建设中心，××市（县、区）水务局，××公司</w:t>
      </w:r>
    </w:p>
    <w:p>
      <w:pPr>
        <w:spacing w:line="580" w:lineRule="exact"/>
        <w:ind w:firstLine="640" w:firstLineChars="200"/>
        <w:rPr>
          <w:color w:val="000000"/>
          <w:szCs w:val="32"/>
        </w:rPr>
      </w:pPr>
      <w:r>
        <w:rPr>
          <w:color w:val="000000"/>
          <w:szCs w:val="32"/>
        </w:rPr>
        <w:t>（2）实施范围和条件</w:t>
      </w:r>
    </w:p>
    <w:p>
      <w:pPr>
        <w:pStyle w:val="2"/>
        <w:widowControl w:val="0"/>
        <w:spacing w:before="0" w:after="0" w:line="580" w:lineRule="exact"/>
        <w:ind w:left="0" w:leftChars="0" w:firstLine="640"/>
        <w:rPr>
          <w:rFonts w:ascii="Times New Roman" w:hAnsi="Times New Roman" w:eastAsia="仿宋_GB2312"/>
          <w:spacing w:val="-6"/>
          <w:sz w:val="32"/>
          <w:szCs w:val="32"/>
          <w:lang w:val="en-US" w:eastAsia="zh-CN"/>
        </w:rPr>
      </w:pPr>
      <w:r>
        <w:rPr>
          <w:rFonts w:ascii="Times New Roman" w:hAnsi="Times New Roman" w:eastAsia="仿宋_GB2312"/>
          <w:sz w:val="32"/>
          <w:szCs w:val="32"/>
          <w:lang w:val="en-US" w:eastAsia="zh-CN"/>
        </w:rPr>
        <w:t>纳</w:t>
      </w:r>
      <w:r>
        <w:rPr>
          <w:rFonts w:ascii="Times New Roman" w:hAnsi="Times New Roman" w:eastAsia="仿宋_GB2312"/>
          <w:spacing w:val="-6"/>
          <w:sz w:val="32"/>
          <w:szCs w:val="32"/>
          <w:lang w:val="en-US" w:eastAsia="zh-CN"/>
        </w:rPr>
        <w:t>入国家相关规划或方案，完成项目审批或核准程序（政府投资项目应完成项目可行性研究报告或初步设计、实施方案审批）。</w:t>
      </w:r>
    </w:p>
    <w:p>
      <w:pPr>
        <w:spacing w:line="580" w:lineRule="exact"/>
        <w:ind w:firstLine="640" w:firstLineChars="200"/>
        <w:rPr>
          <w:color w:val="000000"/>
          <w:szCs w:val="32"/>
        </w:rPr>
      </w:pPr>
      <w:r>
        <w:rPr>
          <w:color w:val="000000"/>
          <w:szCs w:val="32"/>
        </w:rPr>
        <w:t>（3）主要建设内容或规模</w:t>
      </w:r>
    </w:p>
    <w:p>
      <w:pPr>
        <w:adjustRightInd w:val="0"/>
        <w:snapToGrid w:val="0"/>
        <w:spacing w:line="580" w:lineRule="exact"/>
        <w:ind w:firstLine="640" w:firstLineChars="200"/>
        <w:rPr>
          <w:color w:val="000000"/>
          <w:szCs w:val="32"/>
        </w:rPr>
      </w:pPr>
      <w:r>
        <w:rPr>
          <w:color w:val="000000"/>
          <w:szCs w:val="32"/>
        </w:rPr>
        <w:t>实施灌区骨干渠道砌护、建筑物改造、量测水设施、灌区信息化等，同步推进灌区工程管护运行机制、农业水价综合改革和灌区管理体制改革等。</w:t>
      </w:r>
    </w:p>
    <w:p>
      <w:pPr>
        <w:spacing w:line="580" w:lineRule="exact"/>
        <w:ind w:firstLine="640" w:firstLineChars="200"/>
        <w:rPr>
          <w:color w:val="000000"/>
          <w:szCs w:val="32"/>
        </w:rPr>
      </w:pPr>
      <w:r>
        <w:rPr>
          <w:color w:val="000000"/>
          <w:szCs w:val="32"/>
        </w:rPr>
        <w:t>（4）建设性质</w:t>
      </w:r>
    </w:p>
    <w:p>
      <w:pPr>
        <w:spacing w:line="580" w:lineRule="exact"/>
        <w:ind w:firstLine="640" w:firstLineChars="200"/>
        <w:rPr>
          <w:color w:val="000000"/>
          <w:szCs w:val="32"/>
        </w:rPr>
      </w:pPr>
      <w:r>
        <w:rPr>
          <w:color w:val="000000"/>
          <w:szCs w:val="32"/>
        </w:rPr>
        <w:t>续建、改造</w:t>
      </w:r>
    </w:p>
    <w:p>
      <w:pPr>
        <w:spacing w:line="580" w:lineRule="exact"/>
        <w:ind w:firstLine="640" w:firstLineChars="200"/>
        <w:rPr>
          <w:color w:val="000000"/>
          <w:szCs w:val="32"/>
        </w:rPr>
      </w:pPr>
      <w:r>
        <w:rPr>
          <w:color w:val="000000"/>
          <w:szCs w:val="32"/>
        </w:rPr>
        <w:t>（5）实施年限</w:t>
      </w:r>
    </w:p>
    <w:p>
      <w:pPr>
        <w:spacing w:line="580" w:lineRule="exact"/>
        <w:ind w:firstLine="640" w:firstLineChars="200"/>
        <w:rPr>
          <w:color w:val="000000"/>
          <w:szCs w:val="32"/>
        </w:rPr>
      </w:pPr>
      <w:r>
        <w:rPr>
          <w:color w:val="000000"/>
          <w:szCs w:val="32"/>
        </w:rPr>
        <w:t>单个项目建设期控制在1年为宜。</w:t>
      </w:r>
    </w:p>
    <w:p>
      <w:pPr>
        <w:spacing w:line="580" w:lineRule="exact"/>
        <w:ind w:firstLine="640" w:firstLineChars="200"/>
        <w:rPr>
          <w:color w:val="000000"/>
          <w:szCs w:val="32"/>
        </w:rPr>
      </w:pPr>
      <w:r>
        <w:rPr>
          <w:color w:val="000000"/>
          <w:szCs w:val="32"/>
        </w:rPr>
        <w:t>（6）估算投资及资金来源初步方案</w:t>
      </w:r>
    </w:p>
    <w:p>
      <w:pPr>
        <w:spacing w:line="580" w:lineRule="exact"/>
        <w:ind w:firstLine="640" w:firstLineChars="200"/>
        <w:rPr>
          <w:color w:val="000000"/>
          <w:szCs w:val="32"/>
        </w:rPr>
      </w:pPr>
      <w:r>
        <w:rPr>
          <w:color w:val="000000"/>
          <w:szCs w:val="32"/>
        </w:rPr>
        <w:t>中央预算内投资按照项目规划控制投资的80%予以补助，其余20%由项目单位自筹解决。</w:t>
      </w:r>
    </w:p>
    <w:p>
      <w:pPr>
        <w:spacing w:line="580" w:lineRule="exact"/>
        <w:ind w:firstLine="640" w:firstLineChars="200"/>
        <w:rPr>
          <w:color w:val="000000"/>
          <w:szCs w:val="32"/>
        </w:rPr>
      </w:pPr>
      <w:r>
        <w:rPr>
          <w:color w:val="000000"/>
          <w:szCs w:val="32"/>
        </w:rPr>
        <w:t>（7）经济社会效益</w:t>
      </w:r>
    </w:p>
    <w:p>
      <w:pPr>
        <w:spacing w:line="580" w:lineRule="exact"/>
        <w:ind w:firstLine="640" w:firstLineChars="200"/>
        <w:rPr>
          <w:color w:val="000000"/>
          <w:szCs w:val="32"/>
        </w:rPr>
      </w:pPr>
      <w:bookmarkStart w:id="594" w:name="_Toc7831"/>
      <w:bookmarkStart w:id="595" w:name="_Toc13179"/>
      <w:bookmarkStart w:id="596" w:name="_Toc8780"/>
      <w:bookmarkStart w:id="597" w:name="_Toc13829"/>
      <w:bookmarkStart w:id="598" w:name="_Toc21550"/>
      <w:bookmarkStart w:id="599" w:name="_Toc30623"/>
      <w:bookmarkStart w:id="600" w:name="_Toc31066"/>
      <w:bookmarkStart w:id="601" w:name="_Toc3228"/>
      <w:bookmarkStart w:id="602" w:name="_Toc15734"/>
      <w:r>
        <w:rPr>
          <w:color w:val="000000"/>
          <w:szCs w:val="32"/>
        </w:rPr>
        <w:t>基本解决事关灌区安全运行、整体效益发挥的“卡脖子”、险工险段、渗漏严重、输水不畅、配水不力等问题，提升灌区现代化管理水平，发挥灌区经济、节水与生态及社会等综合效益</w:t>
      </w:r>
    </w:p>
    <w:p>
      <w:pPr>
        <w:spacing w:line="580" w:lineRule="exact"/>
        <w:ind w:firstLine="642" w:firstLineChars="200"/>
        <w:outlineLvl w:val="2"/>
        <w:rPr>
          <w:b/>
          <w:bCs/>
          <w:color w:val="000000"/>
          <w:szCs w:val="32"/>
        </w:rPr>
      </w:pPr>
      <w:bookmarkStart w:id="603" w:name="_Toc25933"/>
      <w:r>
        <w:rPr>
          <w:b/>
          <w:bCs/>
          <w:color w:val="000000"/>
          <w:szCs w:val="32"/>
        </w:rPr>
        <w:t>2.重大引调水工程</w:t>
      </w:r>
      <w:bookmarkEnd w:id="594"/>
      <w:bookmarkEnd w:id="595"/>
      <w:bookmarkEnd w:id="596"/>
      <w:bookmarkEnd w:id="597"/>
      <w:bookmarkEnd w:id="598"/>
      <w:bookmarkEnd w:id="599"/>
      <w:bookmarkEnd w:id="600"/>
      <w:bookmarkEnd w:id="601"/>
      <w:bookmarkEnd w:id="602"/>
      <w:bookmarkEnd w:id="603"/>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640"/>
        <w:rPr>
          <w:rFonts w:ascii="Times New Roman" w:hAnsi="Times New Roman" w:eastAsia="仿宋_GB2312"/>
          <w:spacing w:val="-8"/>
          <w:sz w:val="32"/>
          <w:szCs w:val="32"/>
          <w:lang w:val="en-US" w:eastAsia="zh-CN"/>
        </w:rPr>
      </w:pPr>
      <w:r>
        <w:rPr>
          <w:rFonts w:ascii="Times New Roman" w:hAnsi="Times New Roman" w:eastAsia="仿宋_GB2312"/>
          <w:sz w:val="32"/>
          <w:szCs w:val="32"/>
          <w:lang w:val="en-US" w:eastAsia="zh-CN"/>
        </w:rPr>
        <w:t>自</w:t>
      </w:r>
      <w:r>
        <w:rPr>
          <w:rFonts w:ascii="Times New Roman" w:hAnsi="Times New Roman" w:eastAsia="仿宋_GB2312"/>
          <w:spacing w:val="-8"/>
          <w:sz w:val="32"/>
          <w:szCs w:val="32"/>
          <w:lang w:val="en-US" w:eastAsia="zh-CN"/>
        </w:rPr>
        <w:t>治区水利工程建设中心，××市（县、区）水务局，××公司</w:t>
      </w:r>
    </w:p>
    <w:p>
      <w:pPr>
        <w:spacing w:line="580" w:lineRule="exact"/>
        <w:ind w:firstLine="640" w:firstLineChars="200"/>
        <w:rPr>
          <w:color w:val="000000"/>
          <w:szCs w:val="32"/>
        </w:rPr>
      </w:pPr>
      <w:r>
        <w:rPr>
          <w:color w:val="000000"/>
          <w:szCs w:val="32"/>
        </w:rPr>
        <w:t>（2）实施范围和条件</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纳入国家或自治区相关规划或方案，完成项目审批或核准程序（政府投资项目应完成项目可行性研究报告或初步设计、实施方案审批）。</w:t>
      </w:r>
    </w:p>
    <w:p>
      <w:pPr>
        <w:spacing w:line="580" w:lineRule="exact"/>
        <w:ind w:firstLine="640" w:firstLineChars="200"/>
        <w:rPr>
          <w:color w:val="000000"/>
          <w:szCs w:val="32"/>
        </w:rPr>
      </w:pPr>
      <w:r>
        <w:rPr>
          <w:color w:val="000000"/>
          <w:szCs w:val="32"/>
        </w:rPr>
        <w:t>（3）主要建设内容或规模</w:t>
      </w:r>
    </w:p>
    <w:p>
      <w:pPr>
        <w:adjustRightInd w:val="0"/>
        <w:snapToGrid w:val="0"/>
        <w:spacing w:line="580" w:lineRule="exact"/>
        <w:ind w:firstLine="640" w:firstLineChars="200"/>
        <w:rPr>
          <w:color w:val="000000"/>
          <w:szCs w:val="32"/>
        </w:rPr>
      </w:pPr>
      <w:r>
        <w:rPr>
          <w:color w:val="000000"/>
          <w:szCs w:val="32"/>
        </w:rPr>
        <w:t>实施取水（截引）、扬水、输水、调蓄、净水等工程。</w:t>
      </w:r>
    </w:p>
    <w:p>
      <w:pPr>
        <w:spacing w:line="580" w:lineRule="exact"/>
        <w:ind w:firstLine="640" w:firstLineChars="200"/>
        <w:rPr>
          <w:color w:val="000000"/>
          <w:szCs w:val="32"/>
        </w:rPr>
      </w:pPr>
      <w:r>
        <w:rPr>
          <w:color w:val="000000"/>
          <w:szCs w:val="32"/>
        </w:rPr>
        <w:t>（4）建设性质</w:t>
      </w:r>
    </w:p>
    <w:p>
      <w:pPr>
        <w:spacing w:line="580" w:lineRule="exact"/>
        <w:ind w:firstLine="640" w:firstLineChars="200"/>
        <w:rPr>
          <w:color w:val="000000"/>
          <w:szCs w:val="32"/>
        </w:rPr>
      </w:pPr>
      <w:r>
        <w:rPr>
          <w:color w:val="000000"/>
          <w:szCs w:val="32"/>
        </w:rPr>
        <w:t>新建。</w:t>
      </w:r>
    </w:p>
    <w:p>
      <w:pPr>
        <w:spacing w:line="580" w:lineRule="exact"/>
        <w:ind w:firstLine="640" w:firstLineChars="200"/>
        <w:rPr>
          <w:color w:val="000000"/>
          <w:szCs w:val="32"/>
        </w:rPr>
      </w:pPr>
      <w:r>
        <w:rPr>
          <w:color w:val="000000"/>
          <w:szCs w:val="32"/>
        </w:rPr>
        <w:t>（5）实施年限</w:t>
      </w:r>
    </w:p>
    <w:p>
      <w:pPr>
        <w:spacing w:line="580" w:lineRule="exact"/>
        <w:ind w:firstLine="640" w:firstLineChars="200"/>
        <w:rPr>
          <w:color w:val="000000"/>
          <w:szCs w:val="32"/>
        </w:rPr>
      </w:pPr>
      <w:r>
        <w:rPr>
          <w:color w:val="000000"/>
          <w:szCs w:val="32"/>
        </w:rPr>
        <w:t>建设期1-3年为宜。</w:t>
      </w:r>
    </w:p>
    <w:p>
      <w:pPr>
        <w:spacing w:line="580" w:lineRule="exact"/>
        <w:ind w:firstLine="640" w:firstLineChars="200"/>
        <w:rPr>
          <w:color w:val="000000"/>
          <w:szCs w:val="32"/>
        </w:rPr>
      </w:pPr>
      <w:r>
        <w:rPr>
          <w:color w:val="000000"/>
          <w:szCs w:val="32"/>
        </w:rPr>
        <w:t>（6）估算投资及资金来源初步方案</w:t>
      </w:r>
    </w:p>
    <w:p>
      <w:pPr>
        <w:spacing w:line="580" w:lineRule="exact"/>
        <w:ind w:firstLine="640" w:firstLineChars="200"/>
        <w:rPr>
          <w:color w:val="000000"/>
          <w:szCs w:val="32"/>
        </w:rPr>
      </w:pPr>
      <w:r>
        <w:rPr>
          <w:color w:val="000000"/>
          <w:szCs w:val="32"/>
        </w:rPr>
        <w:t>中央预算内投资按照项目资本金的50%予以补助，其余投资由项目单位自筹解决。</w:t>
      </w:r>
    </w:p>
    <w:p>
      <w:pPr>
        <w:spacing w:line="580" w:lineRule="exact"/>
        <w:ind w:firstLine="640" w:firstLineChars="200"/>
        <w:rPr>
          <w:color w:val="000000"/>
          <w:szCs w:val="32"/>
        </w:rPr>
      </w:pPr>
      <w:r>
        <w:rPr>
          <w:color w:val="000000"/>
          <w:szCs w:val="32"/>
        </w:rPr>
        <w:t>（7）经济社会效益</w:t>
      </w:r>
    </w:p>
    <w:p>
      <w:pPr>
        <w:spacing w:line="580" w:lineRule="exact"/>
        <w:ind w:firstLine="640" w:firstLineChars="200"/>
        <w:rPr>
          <w:color w:val="000000"/>
          <w:szCs w:val="32"/>
        </w:rPr>
      </w:pPr>
      <w:r>
        <w:rPr>
          <w:color w:val="000000"/>
          <w:szCs w:val="32"/>
        </w:rPr>
        <w:t>解决受水区城乡居民生活和工业产业发展用水问题，促进区域高质量发展，改善当地生态环境。</w:t>
      </w:r>
    </w:p>
    <w:p>
      <w:pPr>
        <w:spacing w:line="580" w:lineRule="exact"/>
        <w:ind w:firstLine="642" w:firstLineChars="200"/>
        <w:outlineLvl w:val="2"/>
        <w:rPr>
          <w:b/>
          <w:bCs/>
          <w:color w:val="000000"/>
          <w:szCs w:val="32"/>
        </w:rPr>
      </w:pPr>
      <w:bookmarkStart w:id="604" w:name="_Toc30972"/>
      <w:bookmarkStart w:id="605" w:name="_Toc31521"/>
      <w:bookmarkStart w:id="606" w:name="_Toc16865"/>
      <w:bookmarkStart w:id="607" w:name="_Toc2703"/>
      <w:bookmarkStart w:id="608" w:name="_Toc10941"/>
      <w:bookmarkStart w:id="609" w:name="_Toc12068"/>
      <w:bookmarkStart w:id="610" w:name="_Toc27848"/>
      <w:bookmarkStart w:id="611" w:name="_Toc17876"/>
      <w:bookmarkStart w:id="612" w:name="_Toc12055"/>
      <w:bookmarkStart w:id="613" w:name="_Toc30420"/>
      <w:r>
        <w:rPr>
          <w:b/>
          <w:bCs/>
          <w:color w:val="000000"/>
          <w:szCs w:val="32"/>
        </w:rPr>
        <w:t>3.江河湖泊防洪治理工程</w:t>
      </w:r>
      <w:bookmarkEnd w:id="604"/>
      <w:bookmarkEnd w:id="605"/>
      <w:bookmarkEnd w:id="606"/>
      <w:bookmarkEnd w:id="607"/>
      <w:bookmarkEnd w:id="608"/>
      <w:bookmarkEnd w:id="609"/>
      <w:bookmarkEnd w:id="610"/>
      <w:bookmarkEnd w:id="611"/>
      <w:bookmarkEnd w:id="612"/>
      <w:bookmarkEnd w:id="613"/>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自治区黄河整治指挥部办公室，××市（县、区）水务局，××公司</w:t>
      </w:r>
    </w:p>
    <w:p>
      <w:pPr>
        <w:spacing w:line="580" w:lineRule="exact"/>
        <w:ind w:firstLine="640" w:firstLineChars="200"/>
        <w:rPr>
          <w:color w:val="000000"/>
          <w:szCs w:val="32"/>
        </w:rPr>
      </w:pPr>
      <w:r>
        <w:rPr>
          <w:color w:val="000000"/>
          <w:szCs w:val="32"/>
        </w:rPr>
        <w:t>（2）实施范围和条件</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纳入国家或自治区相关规划或方案，完成项目审批或核准程序（政府投资项目应完成项目可行性研究报告或初步设计、实施方案审批）。</w:t>
      </w:r>
    </w:p>
    <w:p>
      <w:pPr>
        <w:spacing w:line="580" w:lineRule="exact"/>
        <w:ind w:firstLine="640" w:firstLineChars="200"/>
        <w:rPr>
          <w:color w:val="000000"/>
          <w:szCs w:val="32"/>
        </w:rPr>
      </w:pPr>
      <w:r>
        <w:rPr>
          <w:color w:val="000000"/>
          <w:szCs w:val="32"/>
        </w:rPr>
        <w:t>（3）主要建设内容或规模</w:t>
      </w:r>
    </w:p>
    <w:p>
      <w:pPr>
        <w:adjustRightInd w:val="0"/>
        <w:snapToGrid w:val="0"/>
        <w:spacing w:line="580" w:lineRule="exact"/>
        <w:ind w:firstLine="640" w:firstLineChars="200"/>
        <w:rPr>
          <w:color w:val="000000"/>
          <w:szCs w:val="32"/>
        </w:rPr>
      </w:pPr>
      <w:r>
        <w:rPr>
          <w:color w:val="000000"/>
          <w:szCs w:val="32"/>
        </w:rPr>
        <w:t>实施河道清淤疏浚、护岸加固等工程。</w:t>
      </w:r>
    </w:p>
    <w:p>
      <w:pPr>
        <w:spacing w:line="580" w:lineRule="exact"/>
        <w:ind w:firstLine="640" w:firstLineChars="200"/>
        <w:rPr>
          <w:color w:val="000000"/>
          <w:szCs w:val="32"/>
        </w:rPr>
      </w:pPr>
      <w:r>
        <w:rPr>
          <w:color w:val="000000"/>
          <w:szCs w:val="32"/>
        </w:rPr>
        <w:t>（4）建设性质</w:t>
      </w:r>
    </w:p>
    <w:p>
      <w:pPr>
        <w:spacing w:line="580" w:lineRule="exact"/>
        <w:ind w:firstLine="640" w:firstLineChars="200"/>
        <w:rPr>
          <w:color w:val="000000"/>
          <w:szCs w:val="32"/>
        </w:rPr>
      </w:pPr>
      <w:r>
        <w:rPr>
          <w:color w:val="000000"/>
          <w:szCs w:val="32"/>
        </w:rPr>
        <w:t>新建。</w:t>
      </w:r>
    </w:p>
    <w:p>
      <w:pPr>
        <w:spacing w:line="580" w:lineRule="exact"/>
        <w:ind w:firstLine="640" w:firstLineChars="200"/>
        <w:rPr>
          <w:color w:val="000000"/>
          <w:szCs w:val="32"/>
        </w:rPr>
      </w:pPr>
      <w:r>
        <w:rPr>
          <w:color w:val="000000"/>
          <w:szCs w:val="32"/>
        </w:rPr>
        <w:t>（5）实施年限</w:t>
      </w:r>
    </w:p>
    <w:p>
      <w:pPr>
        <w:spacing w:line="580" w:lineRule="exact"/>
        <w:ind w:firstLine="640" w:firstLineChars="200"/>
        <w:rPr>
          <w:color w:val="000000"/>
          <w:szCs w:val="32"/>
        </w:rPr>
      </w:pPr>
      <w:r>
        <w:rPr>
          <w:color w:val="000000"/>
          <w:szCs w:val="32"/>
        </w:rPr>
        <w:t>建设期1-3年为宜。</w:t>
      </w:r>
    </w:p>
    <w:p>
      <w:pPr>
        <w:spacing w:line="580" w:lineRule="exact"/>
        <w:ind w:firstLine="640" w:firstLineChars="200"/>
        <w:rPr>
          <w:color w:val="000000"/>
          <w:szCs w:val="32"/>
        </w:rPr>
      </w:pPr>
      <w:r>
        <w:rPr>
          <w:color w:val="000000"/>
          <w:szCs w:val="32"/>
        </w:rPr>
        <w:t>（6）估算投资及资金来源初步方案</w:t>
      </w:r>
    </w:p>
    <w:p>
      <w:pPr>
        <w:spacing w:line="580" w:lineRule="exact"/>
        <w:ind w:firstLine="640" w:firstLineChars="200"/>
        <w:rPr>
          <w:color w:val="000000"/>
          <w:szCs w:val="32"/>
        </w:rPr>
      </w:pPr>
      <w:r>
        <w:rPr>
          <w:color w:val="000000"/>
          <w:szCs w:val="32"/>
        </w:rPr>
        <w:t>中央预算内投资补助标准：对1、2级堤防工程按照项目总投资的80%予以补助，对3级及以下级别堤防工程按项目总投资的60%予以补助，对河道整治工程按照项目总投资的40%予以补助。其余投资由项目单位自筹解决。</w:t>
      </w:r>
    </w:p>
    <w:p>
      <w:pPr>
        <w:spacing w:line="580" w:lineRule="exact"/>
        <w:ind w:firstLine="640" w:firstLineChars="200"/>
        <w:rPr>
          <w:color w:val="000000"/>
          <w:szCs w:val="32"/>
        </w:rPr>
      </w:pPr>
      <w:r>
        <w:rPr>
          <w:color w:val="000000"/>
          <w:szCs w:val="32"/>
        </w:rPr>
        <w:t>（7）经济社会效益</w:t>
      </w:r>
    </w:p>
    <w:p>
      <w:pPr>
        <w:spacing w:line="580" w:lineRule="exact"/>
        <w:ind w:firstLine="640" w:firstLineChars="200"/>
        <w:rPr>
          <w:color w:val="000000"/>
          <w:szCs w:val="32"/>
        </w:rPr>
      </w:pPr>
      <w:r>
        <w:rPr>
          <w:color w:val="000000"/>
          <w:szCs w:val="32"/>
        </w:rPr>
        <w:t>恢复河道防洪能力，提升堤防防洪标准，确保河道沿线城乡居民生命财产安全。</w:t>
      </w:r>
    </w:p>
    <w:p>
      <w:pPr>
        <w:spacing w:line="580" w:lineRule="exact"/>
        <w:ind w:firstLine="640" w:firstLineChars="200"/>
        <w:outlineLvl w:val="2"/>
        <w:rPr>
          <w:rFonts w:eastAsia="楷体"/>
          <w:color w:val="000000"/>
          <w:szCs w:val="32"/>
        </w:rPr>
      </w:pPr>
      <w:bookmarkStart w:id="614" w:name="_Toc15248"/>
      <w:bookmarkStart w:id="615" w:name="_Toc4887"/>
      <w:bookmarkStart w:id="616" w:name="_Toc26265"/>
      <w:bookmarkStart w:id="617" w:name="_Toc16418"/>
      <w:bookmarkStart w:id="618" w:name="_Toc12243"/>
      <w:bookmarkStart w:id="619" w:name="_Toc4472"/>
      <w:bookmarkStart w:id="620" w:name="_Toc18470"/>
      <w:bookmarkStart w:id="621" w:name="_Toc15531"/>
      <w:bookmarkStart w:id="622" w:name="_Toc30719"/>
      <w:bookmarkStart w:id="623" w:name="_Toc14459"/>
      <w:r>
        <w:rPr>
          <w:rFonts w:eastAsia="楷体"/>
          <w:color w:val="000000"/>
          <w:szCs w:val="32"/>
        </w:rPr>
        <w:t>（二）水生态治理、中小河流治理等其他水利工程</w:t>
      </w:r>
      <w:bookmarkEnd w:id="614"/>
      <w:bookmarkEnd w:id="615"/>
      <w:bookmarkEnd w:id="616"/>
      <w:bookmarkEnd w:id="617"/>
      <w:bookmarkEnd w:id="618"/>
      <w:bookmarkEnd w:id="619"/>
      <w:bookmarkEnd w:id="620"/>
      <w:bookmarkEnd w:id="621"/>
      <w:bookmarkEnd w:id="622"/>
      <w:bookmarkEnd w:id="623"/>
    </w:p>
    <w:p>
      <w:pPr>
        <w:spacing w:line="580" w:lineRule="exact"/>
        <w:ind w:firstLine="642" w:firstLineChars="200"/>
        <w:outlineLvl w:val="2"/>
        <w:rPr>
          <w:b/>
          <w:bCs/>
          <w:color w:val="000000"/>
          <w:szCs w:val="32"/>
        </w:rPr>
      </w:pPr>
      <w:bookmarkStart w:id="624" w:name="_Toc5952"/>
      <w:bookmarkStart w:id="625" w:name="_Toc29061"/>
      <w:bookmarkStart w:id="626" w:name="_Toc13262"/>
      <w:bookmarkStart w:id="627" w:name="_Toc3300"/>
      <w:bookmarkStart w:id="628" w:name="_Toc6613"/>
      <w:bookmarkStart w:id="629" w:name="_Toc3653"/>
      <w:bookmarkStart w:id="630" w:name="_Toc4303"/>
      <w:bookmarkStart w:id="631" w:name="_Toc29162"/>
      <w:bookmarkStart w:id="632" w:name="_Toc10772"/>
      <w:bookmarkStart w:id="633" w:name="_Toc12928"/>
      <w:r>
        <w:rPr>
          <w:b/>
          <w:bCs/>
          <w:color w:val="000000"/>
          <w:szCs w:val="32"/>
        </w:rPr>
        <w:t>1.水生态修复与治理工程</w:t>
      </w:r>
      <w:bookmarkEnd w:id="624"/>
      <w:bookmarkEnd w:id="625"/>
      <w:bookmarkEnd w:id="626"/>
      <w:bookmarkEnd w:id="627"/>
      <w:bookmarkEnd w:id="628"/>
      <w:bookmarkEnd w:id="629"/>
      <w:bookmarkEnd w:id="630"/>
      <w:bookmarkEnd w:id="631"/>
      <w:bookmarkEnd w:id="632"/>
      <w:bookmarkEnd w:id="633"/>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640"/>
        <w:rPr>
          <w:rFonts w:ascii="Times New Roman" w:hAnsi="Times New Roman" w:eastAsia="仿宋_GB2312"/>
          <w:spacing w:val="-8"/>
          <w:sz w:val="32"/>
          <w:szCs w:val="32"/>
          <w:lang w:val="en-US" w:eastAsia="zh-CN"/>
        </w:rPr>
      </w:pPr>
      <w:r>
        <w:rPr>
          <w:rFonts w:ascii="Times New Roman" w:hAnsi="Times New Roman" w:eastAsia="仿宋_GB2312"/>
          <w:sz w:val="32"/>
          <w:szCs w:val="32"/>
          <w:lang w:val="en-US" w:eastAsia="zh-CN"/>
        </w:rPr>
        <w:t>自</w:t>
      </w:r>
      <w:r>
        <w:rPr>
          <w:rFonts w:ascii="Times New Roman" w:hAnsi="Times New Roman" w:eastAsia="仿宋_GB2312"/>
          <w:spacing w:val="-8"/>
          <w:sz w:val="32"/>
          <w:szCs w:val="32"/>
          <w:lang w:val="en-US" w:eastAsia="zh-CN"/>
        </w:rPr>
        <w:t>治区水利工程建设中心，××市（县、区）水务局，××公司</w:t>
      </w:r>
    </w:p>
    <w:p>
      <w:pPr>
        <w:spacing w:line="580" w:lineRule="exact"/>
        <w:ind w:firstLine="640" w:firstLineChars="200"/>
        <w:rPr>
          <w:color w:val="000000"/>
          <w:szCs w:val="32"/>
        </w:rPr>
      </w:pPr>
      <w:r>
        <w:rPr>
          <w:color w:val="000000"/>
          <w:szCs w:val="32"/>
        </w:rPr>
        <w:t>（2）实施范围和条件</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纳入国家或自治区相关规划或方案，完成项目审批或核准程序（政府投资项目应完成项目可行性研究报告或初步设计、实施方案审批）。</w:t>
      </w:r>
    </w:p>
    <w:p>
      <w:pPr>
        <w:spacing w:line="580" w:lineRule="exact"/>
        <w:ind w:firstLine="640" w:firstLineChars="200"/>
        <w:rPr>
          <w:color w:val="000000"/>
          <w:szCs w:val="32"/>
        </w:rPr>
      </w:pPr>
      <w:r>
        <w:rPr>
          <w:color w:val="000000"/>
          <w:szCs w:val="32"/>
        </w:rPr>
        <w:t>（3）主要建设内容或规模</w:t>
      </w:r>
    </w:p>
    <w:p>
      <w:pPr>
        <w:adjustRightInd w:val="0"/>
        <w:snapToGrid w:val="0"/>
        <w:spacing w:line="580" w:lineRule="exact"/>
        <w:ind w:firstLine="640" w:firstLineChars="200"/>
        <w:rPr>
          <w:color w:val="000000"/>
          <w:szCs w:val="32"/>
        </w:rPr>
      </w:pPr>
      <w:r>
        <w:rPr>
          <w:color w:val="000000"/>
          <w:szCs w:val="32"/>
        </w:rPr>
        <w:t>实施水系连通、底泥清淤、岸线治理、植被恢复等工程，配套入河入湖水污染治理、河湖保护管理制度建设等。</w:t>
      </w:r>
    </w:p>
    <w:p>
      <w:pPr>
        <w:spacing w:line="580" w:lineRule="exact"/>
        <w:ind w:firstLine="640" w:firstLineChars="200"/>
        <w:rPr>
          <w:color w:val="000000"/>
          <w:szCs w:val="32"/>
        </w:rPr>
      </w:pPr>
      <w:r>
        <w:rPr>
          <w:color w:val="000000"/>
          <w:szCs w:val="32"/>
        </w:rPr>
        <w:t>（4）建设性质</w:t>
      </w:r>
    </w:p>
    <w:p>
      <w:pPr>
        <w:spacing w:line="580" w:lineRule="exact"/>
        <w:ind w:firstLine="640" w:firstLineChars="200"/>
        <w:rPr>
          <w:color w:val="000000"/>
          <w:szCs w:val="32"/>
        </w:rPr>
      </w:pPr>
      <w:r>
        <w:rPr>
          <w:color w:val="000000"/>
          <w:szCs w:val="32"/>
        </w:rPr>
        <w:t>新建。</w:t>
      </w:r>
    </w:p>
    <w:p>
      <w:pPr>
        <w:spacing w:line="580" w:lineRule="exact"/>
        <w:ind w:firstLine="640" w:firstLineChars="200"/>
        <w:rPr>
          <w:color w:val="000000"/>
          <w:szCs w:val="32"/>
        </w:rPr>
      </w:pPr>
      <w:r>
        <w:rPr>
          <w:color w:val="000000"/>
          <w:szCs w:val="32"/>
        </w:rPr>
        <w:t>（5）实施年限</w:t>
      </w:r>
    </w:p>
    <w:p>
      <w:pPr>
        <w:spacing w:line="580" w:lineRule="exact"/>
        <w:ind w:firstLine="640" w:firstLineChars="200"/>
        <w:rPr>
          <w:color w:val="000000"/>
          <w:szCs w:val="32"/>
        </w:rPr>
      </w:pPr>
      <w:r>
        <w:rPr>
          <w:color w:val="000000"/>
          <w:szCs w:val="32"/>
        </w:rPr>
        <w:t>建设期1-3年为宜。</w:t>
      </w:r>
    </w:p>
    <w:p>
      <w:pPr>
        <w:spacing w:line="580" w:lineRule="exact"/>
        <w:ind w:firstLine="640" w:firstLineChars="200"/>
        <w:rPr>
          <w:color w:val="000000"/>
          <w:szCs w:val="32"/>
        </w:rPr>
      </w:pPr>
      <w:r>
        <w:rPr>
          <w:color w:val="000000"/>
          <w:szCs w:val="32"/>
        </w:rPr>
        <w:t>（6）估算投资及资金来源初步方案</w:t>
      </w:r>
    </w:p>
    <w:p>
      <w:pPr>
        <w:spacing w:line="580" w:lineRule="exact"/>
        <w:ind w:firstLine="640" w:firstLineChars="200"/>
        <w:rPr>
          <w:color w:val="000000"/>
          <w:szCs w:val="32"/>
        </w:rPr>
      </w:pPr>
      <w:r>
        <w:rPr>
          <w:color w:val="000000"/>
          <w:szCs w:val="32"/>
        </w:rPr>
        <w:t>工程投资以项目单位自筹为主，中央预算内投资根据工程建设内容、区域经济社会发展水平等情况，以及细分工程类型的投资补助标准综合测算确定投资补助规模。</w:t>
      </w:r>
    </w:p>
    <w:p>
      <w:pPr>
        <w:spacing w:line="580" w:lineRule="exact"/>
        <w:ind w:firstLine="640" w:firstLineChars="200"/>
        <w:rPr>
          <w:color w:val="000000"/>
          <w:szCs w:val="32"/>
        </w:rPr>
      </w:pPr>
      <w:r>
        <w:rPr>
          <w:color w:val="000000"/>
          <w:szCs w:val="32"/>
        </w:rPr>
        <w:t>（7）经济社会效益</w:t>
      </w:r>
    </w:p>
    <w:p>
      <w:pPr>
        <w:spacing w:line="580" w:lineRule="exact"/>
        <w:ind w:firstLine="640" w:firstLineChars="200"/>
        <w:rPr>
          <w:color w:val="000000"/>
          <w:szCs w:val="32"/>
        </w:rPr>
      </w:pPr>
      <w:r>
        <w:rPr>
          <w:color w:val="000000"/>
          <w:szCs w:val="32"/>
        </w:rPr>
        <w:t>增强水体的自净能力，消除或减轻水体污染，改善生物群落的结构和多样性，使水生态系统转入良性循环，达到经济和生态同步发展。</w:t>
      </w:r>
    </w:p>
    <w:p>
      <w:pPr>
        <w:spacing w:line="580" w:lineRule="exact"/>
        <w:ind w:firstLine="642" w:firstLineChars="200"/>
        <w:outlineLvl w:val="2"/>
        <w:rPr>
          <w:b/>
          <w:bCs/>
          <w:color w:val="000000"/>
          <w:szCs w:val="32"/>
        </w:rPr>
      </w:pPr>
      <w:bookmarkStart w:id="634" w:name="_Toc764"/>
      <w:bookmarkStart w:id="635" w:name="_Toc29631"/>
      <w:bookmarkStart w:id="636" w:name="_Toc26997"/>
      <w:bookmarkStart w:id="637" w:name="_Toc19123"/>
      <w:bookmarkStart w:id="638" w:name="_Toc12327"/>
      <w:bookmarkStart w:id="639" w:name="_Toc22563"/>
      <w:bookmarkStart w:id="640" w:name="_Toc27283"/>
      <w:bookmarkStart w:id="641" w:name="_Toc10420"/>
      <w:bookmarkStart w:id="642" w:name="_Toc31567"/>
      <w:bookmarkStart w:id="643" w:name="_Toc25204"/>
      <w:r>
        <w:rPr>
          <w:b/>
          <w:bCs/>
          <w:color w:val="000000"/>
          <w:szCs w:val="32"/>
        </w:rPr>
        <w:t>2.流域面积3000平方公里以上中小河流治理工程</w:t>
      </w:r>
      <w:bookmarkEnd w:id="634"/>
      <w:bookmarkEnd w:id="635"/>
      <w:bookmarkEnd w:id="636"/>
      <w:bookmarkEnd w:id="637"/>
      <w:bookmarkEnd w:id="638"/>
      <w:bookmarkEnd w:id="639"/>
      <w:bookmarkEnd w:id="640"/>
      <w:bookmarkEnd w:id="641"/>
      <w:bookmarkEnd w:id="642"/>
      <w:bookmarkEnd w:id="643"/>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640"/>
        <w:rPr>
          <w:rFonts w:ascii="Times New Roman" w:hAnsi="Times New Roman" w:eastAsia="仿宋_GB2312"/>
          <w:spacing w:val="-8"/>
          <w:sz w:val="32"/>
          <w:szCs w:val="32"/>
          <w:lang w:val="en-US" w:eastAsia="zh-CN"/>
        </w:rPr>
      </w:pPr>
      <w:r>
        <w:rPr>
          <w:rFonts w:ascii="Times New Roman" w:hAnsi="Times New Roman" w:eastAsia="仿宋_GB2312"/>
          <w:sz w:val="32"/>
          <w:szCs w:val="32"/>
          <w:lang w:val="en-US" w:eastAsia="zh-CN"/>
        </w:rPr>
        <w:t>自</w:t>
      </w:r>
      <w:r>
        <w:rPr>
          <w:rFonts w:ascii="Times New Roman" w:hAnsi="Times New Roman" w:eastAsia="仿宋_GB2312"/>
          <w:spacing w:val="-8"/>
          <w:sz w:val="32"/>
          <w:szCs w:val="32"/>
          <w:lang w:val="en-US" w:eastAsia="zh-CN"/>
        </w:rPr>
        <w:t>治区水利工程建设中心，××市（县、区）水务局，××公司</w:t>
      </w:r>
    </w:p>
    <w:p>
      <w:pPr>
        <w:spacing w:line="580" w:lineRule="exact"/>
        <w:ind w:firstLine="640" w:firstLineChars="200"/>
        <w:rPr>
          <w:color w:val="000000"/>
          <w:szCs w:val="32"/>
        </w:rPr>
      </w:pPr>
      <w:r>
        <w:rPr>
          <w:color w:val="000000"/>
          <w:szCs w:val="32"/>
        </w:rPr>
        <w:t>（2）实施范围和条件</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纳入国家或自治区相关规划或方案，完成项目审批或核准程序（政府投资项目应完成项目可行性研究报告或初步设计、实施方案审批）。</w:t>
      </w:r>
    </w:p>
    <w:p>
      <w:pPr>
        <w:spacing w:line="580" w:lineRule="exact"/>
        <w:ind w:firstLine="640" w:firstLineChars="200"/>
        <w:rPr>
          <w:color w:val="000000"/>
          <w:szCs w:val="32"/>
        </w:rPr>
      </w:pPr>
      <w:r>
        <w:rPr>
          <w:color w:val="000000"/>
          <w:szCs w:val="32"/>
        </w:rPr>
        <w:t>（3）主要建设内容或规模</w:t>
      </w:r>
    </w:p>
    <w:p>
      <w:pPr>
        <w:adjustRightInd w:val="0"/>
        <w:snapToGrid w:val="0"/>
        <w:spacing w:line="580" w:lineRule="exact"/>
        <w:ind w:firstLine="640" w:firstLineChars="200"/>
        <w:rPr>
          <w:color w:val="000000"/>
          <w:szCs w:val="32"/>
        </w:rPr>
      </w:pPr>
      <w:r>
        <w:rPr>
          <w:color w:val="000000"/>
          <w:szCs w:val="32"/>
        </w:rPr>
        <w:t>实施河道清淤疏浚、护岸加固等工程。</w:t>
      </w:r>
    </w:p>
    <w:p>
      <w:pPr>
        <w:spacing w:line="580" w:lineRule="exact"/>
        <w:ind w:firstLine="640" w:firstLineChars="200"/>
        <w:rPr>
          <w:color w:val="000000"/>
          <w:szCs w:val="32"/>
        </w:rPr>
      </w:pPr>
      <w:r>
        <w:rPr>
          <w:color w:val="000000"/>
          <w:szCs w:val="32"/>
        </w:rPr>
        <w:t>（4）建设性质</w:t>
      </w:r>
    </w:p>
    <w:p>
      <w:pPr>
        <w:spacing w:line="580" w:lineRule="exact"/>
        <w:ind w:firstLine="640" w:firstLineChars="200"/>
        <w:rPr>
          <w:color w:val="000000"/>
          <w:szCs w:val="32"/>
        </w:rPr>
      </w:pPr>
      <w:r>
        <w:rPr>
          <w:color w:val="000000"/>
          <w:szCs w:val="32"/>
        </w:rPr>
        <w:t>新建。</w:t>
      </w:r>
    </w:p>
    <w:p>
      <w:pPr>
        <w:spacing w:line="580" w:lineRule="exact"/>
        <w:ind w:firstLine="640" w:firstLineChars="200"/>
        <w:rPr>
          <w:color w:val="000000"/>
          <w:szCs w:val="32"/>
        </w:rPr>
      </w:pPr>
      <w:r>
        <w:rPr>
          <w:color w:val="000000"/>
          <w:szCs w:val="32"/>
        </w:rPr>
        <w:t>（5）实施年限</w:t>
      </w:r>
    </w:p>
    <w:p>
      <w:pPr>
        <w:spacing w:line="580" w:lineRule="exact"/>
        <w:ind w:firstLine="640" w:firstLineChars="200"/>
        <w:rPr>
          <w:color w:val="000000"/>
          <w:szCs w:val="32"/>
        </w:rPr>
      </w:pPr>
      <w:r>
        <w:rPr>
          <w:color w:val="000000"/>
          <w:szCs w:val="32"/>
        </w:rPr>
        <w:t>建设期1-3年为宜。</w:t>
      </w:r>
    </w:p>
    <w:p>
      <w:pPr>
        <w:spacing w:line="580" w:lineRule="exact"/>
        <w:ind w:firstLine="640" w:firstLineChars="200"/>
        <w:rPr>
          <w:color w:val="000000"/>
          <w:szCs w:val="32"/>
        </w:rPr>
      </w:pPr>
      <w:r>
        <w:rPr>
          <w:color w:val="000000"/>
          <w:szCs w:val="32"/>
        </w:rPr>
        <w:t>（6）估算投资及资金来源初步方案</w:t>
      </w:r>
    </w:p>
    <w:p>
      <w:pPr>
        <w:spacing w:line="580" w:lineRule="exact"/>
        <w:ind w:firstLine="640" w:firstLineChars="200"/>
        <w:rPr>
          <w:color w:val="000000"/>
          <w:szCs w:val="32"/>
        </w:rPr>
      </w:pPr>
      <w:r>
        <w:rPr>
          <w:color w:val="000000"/>
          <w:szCs w:val="32"/>
        </w:rPr>
        <w:t>中央预算内投资按照项目规划控制投资的60%予以补助，其余投资由项目单位自筹解决。</w:t>
      </w:r>
    </w:p>
    <w:p>
      <w:pPr>
        <w:spacing w:line="580" w:lineRule="exact"/>
        <w:ind w:firstLine="640" w:firstLineChars="200"/>
        <w:rPr>
          <w:color w:val="000000"/>
          <w:szCs w:val="32"/>
        </w:rPr>
      </w:pPr>
      <w:r>
        <w:rPr>
          <w:color w:val="000000"/>
          <w:szCs w:val="32"/>
        </w:rPr>
        <w:t>（7）经济社会效益</w:t>
      </w:r>
    </w:p>
    <w:p>
      <w:pPr>
        <w:spacing w:line="580" w:lineRule="exact"/>
        <w:ind w:firstLine="640" w:firstLineChars="200"/>
        <w:rPr>
          <w:color w:val="000000"/>
          <w:szCs w:val="32"/>
        </w:rPr>
      </w:pPr>
      <w:r>
        <w:rPr>
          <w:color w:val="000000"/>
          <w:szCs w:val="32"/>
        </w:rPr>
        <w:t>恢复河道防洪能力，提升堤防防洪标准，确保河道沿线城乡居民生命财产安全。</w:t>
      </w:r>
    </w:p>
    <w:p>
      <w:pPr>
        <w:spacing w:line="580" w:lineRule="exact"/>
        <w:ind w:firstLine="642" w:firstLineChars="200"/>
        <w:outlineLvl w:val="2"/>
        <w:rPr>
          <w:b/>
          <w:bCs/>
          <w:color w:val="000000"/>
          <w:szCs w:val="32"/>
        </w:rPr>
      </w:pPr>
      <w:bookmarkStart w:id="644" w:name="_Toc26557"/>
      <w:bookmarkStart w:id="645" w:name="_Toc23870"/>
      <w:bookmarkStart w:id="646" w:name="_Toc13549"/>
      <w:bookmarkStart w:id="647" w:name="_Toc27726"/>
      <w:bookmarkStart w:id="648" w:name="_Toc21253"/>
      <w:bookmarkStart w:id="649" w:name="_Toc2952"/>
      <w:bookmarkStart w:id="650" w:name="_Toc31601"/>
      <w:bookmarkStart w:id="651" w:name="_Toc13247"/>
      <w:bookmarkStart w:id="652" w:name="_Toc220"/>
      <w:bookmarkStart w:id="653" w:name="_Toc10177"/>
      <w:r>
        <w:rPr>
          <w:b/>
          <w:bCs/>
          <w:color w:val="000000"/>
          <w:szCs w:val="32"/>
        </w:rPr>
        <w:t>3.大中型病险水库（闸）除险加固工程</w:t>
      </w:r>
      <w:bookmarkEnd w:id="644"/>
      <w:bookmarkEnd w:id="645"/>
      <w:bookmarkEnd w:id="646"/>
      <w:bookmarkEnd w:id="647"/>
      <w:bookmarkEnd w:id="648"/>
      <w:bookmarkEnd w:id="649"/>
      <w:bookmarkEnd w:id="650"/>
      <w:bookmarkEnd w:id="651"/>
      <w:bookmarkEnd w:id="652"/>
      <w:bookmarkEnd w:id="653"/>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640"/>
        <w:rPr>
          <w:rFonts w:ascii="Times New Roman" w:hAnsi="Times New Roman" w:eastAsia="仿宋_GB2312"/>
          <w:spacing w:val="-8"/>
          <w:sz w:val="32"/>
          <w:szCs w:val="32"/>
          <w:lang w:val="en-US" w:eastAsia="zh-CN"/>
        </w:rPr>
      </w:pPr>
      <w:r>
        <w:rPr>
          <w:rFonts w:ascii="Times New Roman" w:hAnsi="Times New Roman" w:eastAsia="仿宋_GB2312"/>
          <w:sz w:val="32"/>
          <w:szCs w:val="32"/>
          <w:lang w:val="en-US" w:eastAsia="zh-CN"/>
        </w:rPr>
        <w:t>自</w:t>
      </w:r>
      <w:r>
        <w:rPr>
          <w:rFonts w:ascii="Times New Roman" w:hAnsi="Times New Roman" w:eastAsia="仿宋_GB2312"/>
          <w:spacing w:val="-8"/>
          <w:sz w:val="32"/>
          <w:szCs w:val="32"/>
          <w:lang w:val="en-US" w:eastAsia="zh-CN"/>
        </w:rPr>
        <w:t>治区水利工程建设中心，××市（县、区）水务局，××公司</w:t>
      </w:r>
    </w:p>
    <w:p>
      <w:pPr>
        <w:spacing w:line="580" w:lineRule="exact"/>
        <w:ind w:firstLine="640" w:firstLineChars="200"/>
        <w:rPr>
          <w:color w:val="000000"/>
          <w:szCs w:val="32"/>
        </w:rPr>
      </w:pPr>
      <w:r>
        <w:rPr>
          <w:color w:val="000000"/>
          <w:szCs w:val="32"/>
        </w:rPr>
        <w:t>（2）实施范围和条件</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纳入国家或自治区相关规划或方案，完成项目审批或核准程序（政府投资项目应完成项目可行性研究报告或初步设计、实施方案审批）。</w:t>
      </w:r>
    </w:p>
    <w:p>
      <w:pPr>
        <w:spacing w:line="580" w:lineRule="exact"/>
        <w:ind w:firstLine="640" w:firstLineChars="200"/>
        <w:rPr>
          <w:color w:val="000000"/>
          <w:szCs w:val="32"/>
        </w:rPr>
      </w:pPr>
      <w:r>
        <w:rPr>
          <w:color w:val="000000"/>
          <w:szCs w:val="32"/>
        </w:rPr>
        <w:t>（3）主要建设内容或规模</w:t>
      </w:r>
    </w:p>
    <w:p>
      <w:pPr>
        <w:adjustRightInd w:val="0"/>
        <w:snapToGrid w:val="0"/>
        <w:spacing w:line="580" w:lineRule="exact"/>
        <w:ind w:firstLine="640" w:firstLineChars="200"/>
        <w:rPr>
          <w:color w:val="000000"/>
          <w:szCs w:val="32"/>
        </w:rPr>
      </w:pPr>
      <w:r>
        <w:rPr>
          <w:color w:val="000000"/>
          <w:szCs w:val="32"/>
        </w:rPr>
        <w:t>加固坝体，改造输水、泄洪建筑物等；新建或拆除重建闸墩、闸房，翻建水闸上下游连接段，更换闸门及启闭机，更新闸门控制及安全监测设施等。</w:t>
      </w:r>
    </w:p>
    <w:p>
      <w:pPr>
        <w:spacing w:line="580" w:lineRule="exact"/>
        <w:ind w:firstLine="640" w:firstLineChars="200"/>
        <w:rPr>
          <w:color w:val="000000"/>
          <w:szCs w:val="32"/>
        </w:rPr>
      </w:pPr>
      <w:r>
        <w:rPr>
          <w:color w:val="000000"/>
          <w:szCs w:val="32"/>
        </w:rPr>
        <w:t>（4）建设性质</w:t>
      </w:r>
    </w:p>
    <w:p>
      <w:pPr>
        <w:spacing w:line="580" w:lineRule="exact"/>
        <w:ind w:firstLine="640" w:firstLineChars="200"/>
        <w:rPr>
          <w:color w:val="000000"/>
          <w:szCs w:val="32"/>
        </w:rPr>
      </w:pPr>
      <w:r>
        <w:rPr>
          <w:color w:val="000000"/>
          <w:szCs w:val="32"/>
        </w:rPr>
        <w:t>改建。</w:t>
      </w:r>
    </w:p>
    <w:p>
      <w:pPr>
        <w:spacing w:line="580" w:lineRule="exact"/>
        <w:ind w:firstLine="640" w:firstLineChars="200"/>
        <w:rPr>
          <w:color w:val="000000"/>
          <w:szCs w:val="32"/>
        </w:rPr>
      </w:pPr>
      <w:r>
        <w:rPr>
          <w:color w:val="000000"/>
          <w:szCs w:val="32"/>
        </w:rPr>
        <w:t>（5）实施年限</w:t>
      </w:r>
    </w:p>
    <w:p>
      <w:pPr>
        <w:spacing w:line="580" w:lineRule="exact"/>
        <w:ind w:firstLine="640" w:firstLineChars="200"/>
        <w:rPr>
          <w:color w:val="000000"/>
          <w:szCs w:val="32"/>
        </w:rPr>
      </w:pPr>
      <w:r>
        <w:rPr>
          <w:color w:val="000000"/>
          <w:szCs w:val="32"/>
        </w:rPr>
        <w:t>建设期1-2年为宜。</w:t>
      </w:r>
    </w:p>
    <w:p>
      <w:pPr>
        <w:spacing w:line="580" w:lineRule="exact"/>
        <w:ind w:firstLine="640" w:firstLineChars="200"/>
        <w:rPr>
          <w:color w:val="000000"/>
          <w:szCs w:val="32"/>
        </w:rPr>
      </w:pPr>
      <w:r>
        <w:rPr>
          <w:color w:val="000000"/>
          <w:szCs w:val="32"/>
        </w:rPr>
        <w:t>（6）估算投资及资金来源初步方案</w:t>
      </w:r>
    </w:p>
    <w:p>
      <w:pPr>
        <w:spacing w:line="580" w:lineRule="exact"/>
        <w:ind w:firstLine="640" w:firstLineChars="200"/>
        <w:rPr>
          <w:color w:val="000000"/>
          <w:szCs w:val="32"/>
        </w:rPr>
      </w:pPr>
      <w:r>
        <w:rPr>
          <w:color w:val="000000"/>
          <w:szCs w:val="32"/>
        </w:rPr>
        <w:t>中央预算内投资区别工程正常运行年限进行补助，其中主体工程于1990年以前建成的项目，按照项目总投资的80%予以补助；主体工程于1990年~1999年建成的项目，按照项目总投资的60%予以补助；其他项目原则上不予补助。其余投资由项目单位自筹解决。</w:t>
      </w:r>
    </w:p>
    <w:p>
      <w:pPr>
        <w:spacing w:line="580" w:lineRule="exact"/>
        <w:ind w:firstLine="640" w:firstLineChars="200"/>
        <w:rPr>
          <w:color w:val="000000"/>
          <w:szCs w:val="32"/>
        </w:rPr>
      </w:pPr>
      <w:r>
        <w:rPr>
          <w:color w:val="000000"/>
          <w:szCs w:val="32"/>
        </w:rPr>
        <w:t>（7）经济社会效益</w:t>
      </w:r>
    </w:p>
    <w:p>
      <w:pPr>
        <w:spacing w:line="580" w:lineRule="exact"/>
        <w:ind w:firstLine="640" w:firstLineChars="200"/>
        <w:rPr>
          <w:color w:val="000000"/>
          <w:szCs w:val="32"/>
        </w:rPr>
      </w:pPr>
      <w:r>
        <w:rPr>
          <w:color w:val="000000"/>
          <w:szCs w:val="32"/>
        </w:rPr>
        <w:t>消除水库、水闸病险情，恢复水库防洪能力，提升水闸过流能力，确保水库下游城乡居民生命财产安全和区域农业灌溉供水安全。</w:t>
      </w:r>
    </w:p>
    <w:p>
      <w:pPr>
        <w:spacing w:line="580" w:lineRule="exact"/>
        <w:ind w:firstLine="642" w:firstLineChars="200"/>
        <w:outlineLvl w:val="2"/>
        <w:rPr>
          <w:b/>
          <w:bCs/>
          <w:color w:val="000000"/>
          <w:szCs w:val="32"/>
        </w:rPr>
      </w:pPr>
      <w:bookmarkStart w:id="654" w:name="_Toc3406"/>
      <w:bookmarkStart w:id="655" w:name="_Toc2899"/>
      <w:bookmarkStart w:id="656" w:name="_Toc23685"/>
      <w:bookmarkStart w:id="657" w:name="_Toc29321"/>
      <w:bookmarkStart w:id="658" w:name="_Toc19605"/>
      <w:bookmarkStart w:id="659" w:name="_Toc14070"/>
      <w:bookmarkStart w:id="660" w:name="_Toc25408"/>
      <w:bookmarkStart w:id="661" w:name="_Toc14377"/>
      <w:bookmarkStart w:id="662" w:name="_Toc8881"/>
      <w:bookmarkStart w:id="663" w:name="_Toc2764"/>
      <w:r>
        <w:rPr>
          <w:b/>
          <w:bCs/>
          <w:color w:val="000000"/>
          <w:szCs w:val="32"/>
        </w:rPr>
        <w:t>4.大型灌排泵站更新改造工程</w:t>
      </w:r>
      <w:bookmarkEnd w:id="654"/>
      <w:bookmarkEnd w:id="655"/>
      <w:bookmarkEnd w:id="656"/>
      <w:bookmarkEnd w:id="657"/>
      <w:bookmarkEnd w:id="658"/>
      <w:bookmarkEnd w:id="659"/>
      <w:bookmarkEnd w:id="660"/>
      <w:bookmarkEnd w:id="661"/>
      <w:bookmarkEnd w:id="662"/>
      <w:bookmarkEnd w:id="663"/>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640"/>
        <w:rPr>
          <w:rFonts w:ascii="Times New Roman" w:hAnsi="Times New Roman" w:eastAsia="仿宋_GB2312"/>
          <w:spacing w:val="-8"/>
          <w:sz w:val="32"/>
          <w:szCs w:val="32"/>
          <w:lang w:val="en-US" w:eastAsia="zh-CN"/>
        </w:rPr>
      </w:pPr>
      <w:r>
        <w:rPr>
          <w:rFonts w:ascii="Times New Roman" w:hAnsi="Times New Roman" w:eastAsia="仿宋_GB2312"/>
          <w:sz w:val="32"/>
          <w:szCs w:val="32"/>
          <w:lang w:val="en-US" w:eastAsia="zh-CN"/>
        </w:rPr>
        <w:t>自</w:t>
      </w:r>
      <w:r>
        <w:rPr>
          <w:rFonts w:ascii="Times New Roman" w:hAnsi="Times New Roman" w:eastAsia="仿宋_GB2312"/>
          <w:spacing w:val="-8"/>
          <w:sz w:val="32"/>
          <w:szCs w:val="32"/>
          <w:lang w:val="en-US" w:eastAsia="zh-CN"/>
        </w:rPr>
        <w:t>治区水利工程建设中心，××市（县、区）水务局，××公司</w:t>
      </w:r>
    </w:p>
    <w:p>
      <w:pPr>
        <w:spacing w:line="580" w:lineRule="exact"/>
        <w:ind w:firstLine="640" w:firstLineChars="200"/>
        <w:rPr>
          <w:color w:val="000000"/>
          <w:szCs w:val="32"/>
        </w:rPr>
      </w:pPr>
      <w:r>
        <w:rPr>
          <w:color w:val="000000"/>
          <w:szCs w:val="32"/>
        </w:rPr>
        <w:t>（2）实施范围和条件</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纳入国家或自治区相关规划或方案，完成项目审批或核准程序（政府投资项目应完成项目可行性研究报告或初步设计、实施方案审批）。</w:t>
      </w:r>
    </w:p>
    <w:p>
      <w:pPr>
        <w:spacing w:line="580" w:lineRule="exact"/>
        <w:ind w:firstLine="640" w:firstLineChars="200"/>
        <w:rPr>
          <w:color w:val="000000"/>
          <w:szCs w:val="32"/>
        </w:rPr>
      </w:pPr>
      <w:r>
        <w:rPr>
          <w:color w:val="000000"/>
          <w:szCs w:val="32"/>
        </w:rPr>
        <w:t>（3）主要建设内容或规模</w:t>
      </w:r>
    </w:p>
    <w:p>
      <w:pPr>
        <w:adjustRightInd w:val="0"/>
        <w:snapToGrid w:val="0"/>
        <w:spacing w:line="580" w:lineRule="exact"/>
        <w:ind w:firstLine="640" w:firstLineChars="200"/>
        <w:rPr>
          <w:color w:val="000000"/>
          <w:spacing w:val="6"/>
          <w:szCs w:val="32"/>
        </w:rPr>
      </w:pPr>
      <w:r>
        <w:rPr>
          <w:color w:val="000000"/>
          <w:szCs w:val="32"/>
        </w:rPr>
        <w:t>新</w:t>
      </w:r>
      <w:r>
        <w:rPr>
          <w:color w:val="000000"/>
          <w:spacing w:val="6"/>
          <w:szCs w:val="32"/>
        </w:rPr>
        <w:t>建、翻建、改造泵站，更新水泵机电设备，砌护改造扬水渠道，配套渠道建筑物、供电、电气及自动化控制设施设备改造等。</w:t>
      </w:r>
    </w:p>
    <w:p>
      <w:pPr>
        <w:spacing w:line="580" w:lineRule="exact"/>
        <w:ind w:firstLine="640" w:firstLineChars="200"/>
        <w:rPr>
          <w:color w:val="000000"/>
          <w:szCs w:val="32"/>
        </w:rPr>
      </w:pPr>
      <w:r>
        <w:rPr>
          <w:color w:val="000000"/>
          <w:szCs w:val="32"/>
        </w:rPr>
        <w:t>（4）建设性质</w:t>
      </w:r>
    </w:p>
    <w:p>
      <w:pPr>
        <w:spacing w:line="580" w:lineRule="exact"/>
        <w:ind w:firstLine="640" w:firstLineChars="200"/>
        <w:rPr>
          <w:color w:val="000000"/>
          <w:szCs w:val="32"/>
        </w:rPr>
      </w:pPr>
      <w:r>
        <w:rPr>
          <w:color w:val="000000"/>
          <w:szCs w:val="32"/>
        </w:rPr>
        <w:t>改建。</w:t>
      </w:r>
    </w:p>
    <w:p>
      <w:pPr>
        <w:spacing w:line="580" w:lineRule="exact"/>
        <w:ind w:firstLine="640" w:firstLineChars="200"/>
        <w:rPr>
          <w:color w:val="000000"/>
          <w:szCs w:val="32"/>
        </w:rPr>
      </w:pPr>
      <w:r>
        <w:rPr>
          <w:color w:val="000000"/>
          <w:szCs w:val="32"/>
        </w:rPr>
        <w:t>（5）实施年限</w:t>
      </w:r>
    </w:p>
    <w:p>
      <w:pPr>
        <w:spacing w:line="580" w:lineRule="exact"/>
        <w:ind w:firstLine="640" w:firstLineChars="200"/>
        <w:rPr>
          <w:color w:val="000000"/>
          <w:szCs w:val="32"/>
        </w:rPr>
      </w:pPr>
      <w:r>
        <w:rPr>
          <w:color w:val="000000"/>
          <w:szCs w:val="32"/>
        </w:rPr>
        <w:t>建设期1-2年为宜。</w:t>
      </w:r>
    </w:p>
    <w:p>
      <w:pPr>
        <w:spacing w:line="580" w:lineRule="exact"/>
        <w:ind w:firstLine="640" w:firstLineChars="200"/>
        <w:rPr>
          <w:color w:val="000000"/>
          <w:szCs w:val="32"/>
        </w:rPr>
      </w:pPr>
      <w:r>
        <w:rPr>
          <w:color w:val="000000"/>
          <w:szCs w:val="32"/>
        </w:rPr>
        <w:t>（6）估算投资及资金来源初步方案</w:t>
      </w:r>
    </w:p>
    <w:p>
      <w:pPr>
        <w:spacing w:line="580" w:lineRule="exact"/>
        <w:ind w:firstLine="640" w:firstLineChars="200"/>
        <w:rPr>
          <w:color w:val="000000"/>
          <w:szCs w:val="32"/>
        </w:rPr>
      </w:pPr>
      <w:r>
        <w:rPr>
          <w:color w:val="000000"/>
          <w:szCs w:val="32"/>
        </w:rPr>
        <w:t>中央预算内投资按照项目规划控制投资的80%予以补助，其余投资由项目单位自筹解决。</w:t>
      </w:r>
    </w:p>
    <w:p>
      <w:pPr>
        <w:spacing w:line="580" w:lineRule="exact"/>
        <w:ind w:firstLine="640" w:firstLineChars="200"/>
        <w:rPr>
          <w:color w:val="000000"/>
          <w:szCs w:val="32"/>
        </w:rPr>
      </w:pPr>
      <w:r>
        <w:rPr>
          <w:color w:val="000000"/>
          <w:szCs w:val="32"/>
        </w:rPr>
        <w:t>（7）经济社会效益</w:t>
      </w:r>
    </w:p>
    <w:p>
      <w:pPr>
        <w:spacing w:line="580" w:lineRule="exact"/>
        <w:ind w:firstLine="640" w:firstLineChars="200"/>
        <w:rPr>
          <w:color w:val="000000"/>
          <w:szCs w:val="32"/>
        </w:rPr>
      </w:pPr>
      <w:r>
        <w:rPr>
          <w:color w:val="000000"/>
          <w:szCs w:val="32"/>
        </w:rPr>
        <w:t>消除泵站安全隐患，提升机组运行效率，保障供水安全。</w:t>
      </w:r>
    </w:p>
    <w:p>
      <w:pPr>
        <w:spacing w:line="580" w:lineRule="exact"/>
        <w:ind w:firstLine="642" w:firstLineChars="200"/>
        <w:outlineLvl w:val="2"/>
        <w:rPr>
          <w:b/>
          <w:bCs/>
          <w:color w:val="000000"/>
          <w:szCs w:val="32"/>
        </w:rPr>
      </w:pPr>
      <w:bookmarkStart w:id="664" w:name="_Toc12064"/>
      <w:bookmarkStart w:id="665" w:name="_Toc31167"/>
      <w:bookmarkStart w:id="666" w:name="_Toc12433"/>
      <w:bookmarkStart w:id="667" w:name="_Toc31078"/>
      <w:bookmarkStart w:id="668" w:name="_Toc15984"/>
      <w:bookmarkStart w:id="669" w:name="_Toc27668"/>
      <w:bookmarkStart w:id="670" w:name="_Toc13110"/>
      <w:bookmarkStart w:id="671" w:name="_Toc18298"/>
      <w:bookmarkStart w:id="672" w:name="_Toc2853"/>
      <w:bookmarkStart w:id="673" w:name="_Toc29062"/>
      <w:r>
        <w:rPr>
          <w:b/>
          <w:bCs/>
          <w:color w:val="000000"/>
          <w:szCs w:val="32"/>
        </w:rPr>
        <w:t>5.坡耕地水土流失综合治理工程</w:t>
      </w:r>
      <w:bookmarkEnd w:id="664"/>
      <w:bookmarkEnd w:id="665"/>
      <w:bookmarkEnd w:id="666"/>
      <w:bookmarkEnd w:id="667"/>
      <w:bookmarkEnd w:id="668"/>
      <w:bookmarkEnd w:id="669"/>
      <w:bookmarkEnd w:id="670"/>
      <w:bookmarkEnd w:id="671"/>
      <w:bookmarkEnd w:id="672"/>
      <w:bookmarkEnd w:id="673"/>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640"/>
        <w:rPr>
          <w:rFonts w:ascii="Times New Roman" w:hAnsi="Times New Roman" w:eastAsia="仿宋_GB2312"/>
          <w:spacing w:val="-6"/>
          <w:sz w:val="32"/>
          <w:szCs w:val="32"/>
          <w:lang w:val="en-US" w:eastAsia="zh-CN"/>
        </w:rPr>
      </w:pPr>
      <w:r>
        <w:rPr>
          <w:rFonts w:ascii="Times New Roman" w:hAnsi="Times New Roman" w:eastAsia="仿宋_GB2312"/>
          <w:sz w:val="32"/>
          <w:szCs w:val="32"/>
          <w:lang w:val="en-US" w:eastAsia="zh-CN"/>
        </w:rPr>
        <w:t>×</w:t>
      </w:r>
      <w:r>
        <w:rPr>
          <w:rFonts w:ascii="Times New Roman" w:hAnsi="Times New Roman" w:eastAsia="仿宋_GB2312"/>
          <w:spacing w:val="-6"/>
          <w:sz w:val="32"/>
          <w:szCs w:val="32"/>
          <w:lang w:val="en-US" w:eastAsia="zh-CN"/>
        </w:rPr>
        <w:t>×市（县、区）水务局，具备项目法人资格的单位，××公司</w:t>
      </w:r>
    </w:p>
    <w:p>
      <w:pPr>
        <w:spacing w:line="580" w:lineRule="exact"/>
        <w:ind w:firstLine="640" w:firstLineChars="200"/>
        <w:rPr>
          <w:color w:val="000000"/>
          <w:szCs w:val="32"/>
        </w:rPr>
      </w:pPr>
      <w:r>
        <w:rPr>
          <w:color w:val="000000"/>
          <w:szCs w:val="32"/>
        </w:rPr>
        <w:t>（2）实施范围和条件</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纳入国家或自治区相关规划或方案，完成项目审批或核准程序（政府投资项目应完成项目可行性研究报告或初步设计、实施方案审批）。</w:t>
      </w:r>
    </w:p>
    <w:p>
      <w:pPr>
        <w:spacing w:line="580" w:lineRule="exact"/>
        <w:ind w:firstLine="640" w:firstLineChars="200"/>
        <w:rPr>
          <w:color w:val="000000"/>
          <w:szCs w:val="32"/>
        </w:rPr>
      </w:pPr>
      <w:r>
        <w:rPr>
          <w:color w:val="000000"/>
          <w:szCs w:val="32"/>
        </w:rPr>
        <w:t>（3）主要建设内容或规模</w:t>
      </w:r>
    </w:p>
    <w:p>
      <w:pPr>
        <w:adjustRightInd w:val="0"/>
        <w:snapToGrid w:val="0"/>
        <w:spacing w:line="580" w:lineRule="exact"/>
        <w:ind w:firstLine="640" w:firstLineChars="200"/>
        <w:rPr>
          <w:color w:val="000000"/>
          <w:szCs w:val="32"/>
        </w:rPr>
      </w:pPr>
      <w:r>
        <w:rPr>
          <w:color w:val="000000"/>
          <w:szCs w:val="32"/>
        </w:rPr>
        <w:t>建设水平梯田，配套营造林、生产道路、田间道路等。</w:t>
      </w:r>
    </w:p>
    <w:p>
      <w:pPr>
        <w:spacing w:line="580" w:lineRule="exact"/>
        <w:ind w:firstLine="640" w:firstLineChars="200"/>
        <w:rPr>
          <w:color w:val="000000"/>
          <w:szCs w:val="32"/>
        </w:rPr>
      </w:pPr>
      <w:r>
        <w:rPr>
          <w:color w:val="000000"/>
          <w:szCs w:val="32"/>
        </w:rPr>
        <w:t>（4）建设性质</w:t>
      </w:r>
    </w:p>
    <w:p>
      <w:pPr>
        <w:spacing w:line="580" w:lineRule="exact"/>
        <w:ind w:firstLine="640" w:firstLineChars="200"/>
        <w:rPr>
          <w:color w:val="000000"/>
          <w:szCs w:val="32"/>
        </w:rPr>
      </w:pPr>
      <w:r>
        <w:rPr>
          <w:color w:val="000000"/>
          <w:szCs w:val="32"/>
        </w:rPr>
        <w:t>新建。</w:t>
      </w:r>
    </w:p>
    <w:p>
      <w:pPr>
        <w:spacing w:line="580" w:lineRule="exact"/>
        <w:ind w:firstLine="640" w:firstLineChars="200"/>
        <w:rPr>
          <w:color w:val="000000"/>
          <w:szCs w:val="32"/>
        </w:rPr>
      </w:pPr>
      <w:r>
        <w:rPr>
          <w:color w:val="000000"/>
          <w:szCs w:val="32"/>
        </w:rPr>
        <w:t>（5）实施年限</w:t>
      </w:r>
    </w:p>
    <w:p>
      <w:pPr>
        <w:spacing w:line="580" w:lineRule="exact"/>
        <w:ind w:firstLine="640" w:firstLineChars="200"/>
        <w:rPr>
          <w:color w:val="000000"/>
          <w:szCs w:val="32"/>
        </w:rPr>
      </w:pPr>
      <w:r>
        <w:rPr>
          <w:color w:val="000000"/>
          <w:szCs w:val="32"/>
        </w:rPr>
        <w:t>建设期1年为宜。</w:t>
      </w:r>
    </w:p>
    <w:p>
      <w:pPr>
        <w:spacing w:line="580" w:lineRule="exact"/>
        <w:ind w:firstLine="640" w:firstLineChars="200"/>
        <w:rPr>
          <w:color w:val="000000"/>
          <w:szCs w:val="32"/>
        </w:rPr>
      </w:pPr>
      <w:r>
        <w:rPr>
          <w:color w:val="000000"/>
          <w:szCs w:val="32"/>
        </w:rPr>
        <w:t>（6）估算投资及资金来源初步方案</w:t>
      </w:r>
    </w:p>
    <w:p>
      <w:pPr>
        <w:spacing w:line="580" w:lineRule="exact"/>
        <w:ind w:firstLine="640" w:firstLineChars="200"/>
        <w:rPr>
          <w:color w:val="000000"/>
          <w:szCs w:val="32"/>
        </w:rPr>
      </w:pPr>
      <w:r>
        <w:rPr>
          <w:color w:val="000000"/>
          <w:szCs w:val="32"/>
        </w:rPr>
        <w:t>中央预算内投资按照项目规划控制投资的80%予以补助，其余投资由项目单位自筹解决。</w:t>
      </w:r>
    </w:p>
    <w:p>
      <w:pPr>
        <w:spacing w:line="580" w:lineRule="exact"/>
        <w:ind w:firstLine="640" w:firstLineChars="200"/>
        <w:rPr>
          <w:color w:val="000000"/>
          <w:szCs w:val="32"/>
        </w:rPr>
      </w:pPr>
      <w:r>
        <w:rPr>
          <w:color w:val="000000"/>
          <w:szCs w:val="32"/>
        </w:rPr>
        <w:t>（7）经济社会效益</w:t>
      </w:r>
    </w:p>
    <w:p>
      <w:pPr>
        <w:spacing w:line="580" w:lineRule="exact"/>
        <w:ind w:firstLine="640" w:firstLineChars="200"/>
        <w:rPr>
          <w:color w:val="000000"/>
          <w:szCs w:val="32"/>
        </w:rPr>
      </w:pPr>
      <w:r>
        <w:rPr>
          <w:color w:val="000000"/>
          <w:szCs w:val="32"/>
        </w:rPr>
        <w:t>治理水土流失，改善区域生态环境。</w:t>
      </w:r>
    </w:p>
    <w:p>
      <w:pPr>
        <w:spacing w:line="580" w:lineRule="exact"/>
        <w:ind w:firstLine="642" w:firstLineChars="200"/>
        <w:outlineLvl w:val="2"/>
        <w:rPr>
          <w:b/>
          <w:bCs/>
          <w:color w:val="000000"/>
          <w:szCs w:val="32"/>
        </w:rPr>
      </w:pPr>
      <w:bookmarkStart w:id="674" w:name="_Toc16934"/>
      <w:bookmarkStart w:id="675" w:name="_Toc21438"/>
      <w:bookmarkStart w:id="676" w:name="_Toc17854"/>
      <w:bookmarkStart w:id="677" w:name="_Toc16402"/>
      <w:bookmarkStart w:id="678" w:name="_Toc15005"/>
      <w:bookmarkStart w:id="679" w:name="_Toc18173"/>
      <w:bookmarkStart w:id="680" w:name="_Toc14271"/>
      <w:bookmarkStart w:id="681" w:name="_Toc7980"/>
      <w:bookmarkStart w:id="682" w:name="_Toc8557"/>
      <w:bookmarkStart w:id="683" w:name="_Toc3249"/>
      <w:r>
        <w:rPr>
          <w:b/>
          <w:bCs/>
          <w:color w:val="000000"/>
          <w:szCs w:val="32"/>
        </w:rPr>
        <w:t>6.中型水库工程</w:t>
      </w:r>
      <w:bookmarkEnd w:id="674"/>
      <w:bookmarkEnd w:id="675"/>
      <w:bookmarkEnd w:id="676"/>
      <w:bookmarkEnd w:id="677"/>
      <w:bookmarkEnd w:id="678"/>
      <w:bookmarkEnd w:id="679"/>
      <w:bookmarkEnd w:id="680"/>
      <w:bookmarkEnd w:id="681"/>
      <w:bookmarkEnd w:id="682"/>
      <w:bookmarkEnd w:id="683"/>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××市（县、区）水务局，××公司</w:t>
      </w:r>
    </w:p>
    <w:p>
      <w:pPr>
        <w:spacing w:line="580" w:lineRule="exact"/>
        <w:ind w:firstLine="640" w:firstLineChars="200"/>
        <w:rPr>
          <w:color w:val="000000"/>
          <w:szCs w:val="32"/>
        </w:rPr>
      </w:pPr>
      <w:r>
        <w:rPr>
          <w:color w:val="000000"/>
          <w:szCs w:val="32"/>
        </w:rPr>
        <w:t>（2）实施范围和条件</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纳入国家或自治区相关规划或方案，完成项目审批或核准程序（政府投资项目应完成项目可行性研究报告或初步设计、实施方案审批）。</w:t>
      </w:r>
    </w:p>
    <w:p>
      <w:pPr>
        <w:spacing w:line="580" w:lineRule="exact"/>
        <w:ind w:firstLine="640" w:firstLineChars="200"/>
        <w:rPr>
          <w:color w:val="000000"/>
          <w:szCs w:val="32"/>
        </w:rPr>
      </w:pPr>
      <w:r>
        <w:rPr>
          <w:color w:val="000000"/>
          <w:szCs w:val="32"/>
        </w:rPr>
        <w:t>（3）主要建设内容或规模</w:t>
      </w:r>
    </w:p>
    <w:p>
      <w:pPr>
        <w:adjustRightInd w:val="0"/>
        <w:snapToGrid w:val="0"/>
        <w:spacing w:line="580" w:lineRule="exact"/>
        <w:ind w:firstLine="640" w:firstLineChars="200"/>
        <w:rPr>
          <w:color w:val="000000"/>
          <w:szCs w:val="32"/>
        </w:rPr>
      </w:pPr>
      <w:r>
        <w:rPr>
          <w:color w:val="000000"/>
          <w:szCs w:val="32"/>
        </w:rPr>
        <w:t>新建中型水库。</w:t>
      </w:r>
    </w:p>
    <w:p>
      <w:pPr>
        <w:spacing w:line="580" w:lineRule="exact"/>
        <w:ind w:firstLine="640" w:firstLineChars="200"/>
        <w:rPr>
          <w:color w:val="000000"/>
          <w:szCs w:val="32"/>
        </w:rPr>
      </w:pPr>
      <w:r>
        <w:rPr>
          <w:color w:val="000000"/>
          <w:szCs w:val="32"/>
        </w:rPr>
        <w:t>（4）建设性质</w:t>
      </w:r>
    </w:p>
    <w:p>
      <w:pPr>
        <w:spacing w:line="580" w:lineRule="exact"/>
        <w:ind w:firstLine="640" w:firstLineChars="200"/>
        <w:rPr>
          <w:color w:val="000000"/>
          <w:szCs w:val="32"/>
        </w:rPr>
      </w:pPr>
      <w:r>
        <w:rPr>
          <w:color w:val="000000"/>
          <w:szCs w:val="32"/>
        </w:rPr>
        <w:t>新建。</w:t>
      </w:r>
    </w:p>
    <w:p>
      <w:pPr>
        <w:spacing w:line="580" w:lineRule="exact"/>
        <w:ind w:firstLine="640" w:firstLineChars="200"/>
        <w:rPr>
          <w:color w:val="000000"/>
          <w:szCs w:val="32"/>
        </w:rPr>
      </w:pPr>
      <w:r>
        <w:rPr>
          <w:color w:val="000000"/>
          <w:szCs w:val="32"/>
        </w:rPr>
        <w:t>（5）实施年限</w:t>
      </w:r>
    </w:p>
    <w:p>
      <w:pPr>
        <w:spacing w:line="580" w:lineRule="exact"/>
        <w:ind w:firstLine="640" w:firstLineChars="200"/>
        <w:rPr>
          <w:color w:val="000000"/>
          <w:szCs w:val="32"/>
        </w:rPr>
      </w:pPr>
      <w:r>
        <w:rPr>
          <w:color w:val="000000"/>
          <w:szCs w:val="32"/>
        </w:rPr>
        <w:t>建设期1~3年为宜。</w:t>
      </w:r>
    </w:p>
    <w:p>
      <w:pPr>
        <w:spacing w:line="580" w:lineRule="exact"/>
        <w:ind w:firstLine="640" w:firstLineChars="200"/>
        <w:rPr>
          <w:color w:val="000000"/>
          <w:szCs w:val="32"/>
        </w:rPr>
      </w:pPr>
      <w:r>
        <w:rPr>
          <w:color w:val="000000"/>
          <w:szCs w:val="32"/>
        </w:rPr>
        <w:t>（6）估算投资及资金来源初步方案</w:t>
      </w:r>
    </w:p>
    <w:p>
      <w:pPr>
        <w:spacing w:line="580" w:lineRule="exact"/>
        <w:ind w:firstLine="640" w:firstLineChars="200"/>
        <w:rPr>
          <w:color w:val="000000"/>
          <w:szCs w:val="32"/>
        </w:rPr>
      </w:pPr>
      <w:r>
        <w:rPr>
          <w:color w:val="000000"/>
          <w:szCs w:val="32"/>
        </w:rPr>
        <w:t>中央预算内投资按照项目总投资的50%予以补助，且单个项目补助额度最高不超过2亿元。其余投资由项目单位自筹解决。</w:t>
      </w:r>
    </w:p>
    <w:p>
      <w:pPr>
        <w:spacing w:line="580" w:lineRule="exact"/>
        <w:ind w:firstLine="640" w:firstLineChars="200"/>
        <w:rPr>
          <w:color w:val="000000"/>
          <w:szCs w:val="32"/>
        </w:rPr>
      </w:pPr>
      <w:r>
        <w:rPr>
          <w:color w:val="000000"/>
          <w:szCs w:val="32"/>
        </w:rPr>
        <w:t>（7）经济社会效益</w:t>
      </w:r>
    </w:p>
    <w:p>
      <w:pPr>
        <w:spacing w:line="580" w:lineRule="exact"/>
        <w:ind w:firstLine="640" w:firstLineChars="200"/>
        <w:rPr>
          <w:color w:val="000000"/>
          <w:szCs w:val="32"/>
        </w:rPr>
      </w:pPr>
      <w:r>
        <w:rPr>
          <w:color w:val="000000"/>
          <w:szCs w:val="32"/>
        </w:rPr>
        <w:t>提升河道、沟道防洪控制能力，保障区域防洪安全，增加区域供水量，改善区域生态环境。</w:t>
      </w:r>
    </w:p>
    <w:p>
      <w:pPr>
        <w:spacing w:line="580" w:lineRule="exact"/>
        <w:ind w:firstLine="640" w:firstLineChars="200"/>
        <w:outlineLvl w:val="2"/>
        <w:rPr>
          <w:rFonts w:eastAsia="楷体"/>
          <w:color w:val="000000"/>
          <w:szCs w:val="32"/>
        </w:rPr>
      </w:pPr>
      <w:bookmarkStart w:id="684" w:name="_Toc26455"/>
      <w:bookmarkStart w:id="685" w:name="_Toc1495"/>
      <w:bookmarkStart w:id="686" w:name="_Toc11528"/>
      <w:bookmarkStart w:id="687" w:name="_Toc20052"/>
      <w:bookmarkStart w:id="688" w:name="_Toc9280"/>
      <w:bookmarkStart w:id="689" w:name="_Toc1912"/>
      <w:bookmarkStart w:id="690" w:name="_Toc21911"/>
      <w:bookmarkStart w:id="691" w:name="_Toc31866"/>
      <w:bookmarkStart w:id="692" w:name="_Toc32120"/>
      <w:bookmarkStart w:id="693" w:name="_Toc22548"/>
      <w:r>
        <w:rPr>
          <w:rFonts w:eastAsia="楷体"/>
          <w:color w:val="000000"/>
          <w:szCs w:val="32"/>
        </w:rPr>
        <w:t>（三）农村饮水安全巩固提升工程</w:t>
      </w:r>
      <w:bookmarkEnd w:id="684"/>
      <w:bookmarkEnd w:id="685"/>
      <w:bookmarkEnd w:id="686"/>
      <w:bookmarkEnd w:id="687"/>
      <w:bookmarkEnd w:id="688"/>
      <w:bookmarkEnd w:id="689"/>
      <w:bookmarkEnd w:id="690"/>
      <w:bookmarkEnd w:id="691"/>
      <w:bookmarkEnd w:id="692"/>
      <w:bookmarkEnd w:id="693"/>
    </w:p>
    <w:p>
      <w:pPr>
        <w:spacing w:line="580" w:lineRule="exact"/>
        <w:ind w:firstLine="640" w:firstLineChars="200"/>
        <w:rPr>
          <w:color w:val="000000"/>
          <w:szCs w:val="32"/>
        </w:rPr>
      </w:pPr>
      <w:r>
        <w:rPr>
          <w:color w:val="000000"/>
          <w:szCs w:val="32"/>
        </w:rPr>
        <w:t>（1）建设单位</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××市（县、区）水务局，××公司</w:t>
      </w:r>
    </w:p>
    <w:p>
      <w:pPr>
        <w:spacing w:line="580" w:lineRule="exact"/>
        <w:ind w:firstLine="640" w:firstLineChars="200"/>
        <w:rPr>
          <w:color w:val="000000"/>
          <w:szCs w:val="32"/>
        </w:rPr>
      </w:pPr>
      <w:r>
        <w:rPr>
          <w:color w:val="000000"/>
          <w:szCs w:val="32"/>
        </w:rPr>
        <w:t>（2）实施范围和条件</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纳入国家或自治区相关规划或方案，完成项目审批或核准程序（政府投资项目应完成项目可行性研究报告或初步设计、实施方案审批）。</w:t>
      </w:r>
    </w:p>
    <w:p>
      <w:pPr>
        <w:spacing w:line="580" w:lineRule="exact"/>
        <w:ind w:firstLine="640" w:firstLineChars="200"/>
        <w:rPr>
          <w:color w:val="000000"/>
          <w:szCs w:val="32"/>
        </w:rPr>
      </w:pPr>
      <w:r>
        <w:rPr>
          <w:color w:val="000000"/>
          <w:szCs w:val="32"/>
        </w:rPr>
        <w:t>（3）主要建设内容或规模</w:t>
      </w:r>
    </w:p>
    <w:p>
      <w:pPr>
        <w:adjustRightInd w:val="0"/>
        <w:snapToGrid w:val="0"/>
        <w:spacing w:line="580" w:lineRule="exact"/>
        <w:ind w:firstLine="640" w:firstLineChars="200"/>
        <w:rPr>
          <w:color w:val="000000"/>
          <w:szCs w:val="32"/>
        </w:rPr>
      </w:pPr>
      <w:r>
        <w:rPr>
          <w:color w:val="000000"/>
          <w:szCs w:val="32"/>
        </w:rPr>
        <w:t>对工程标准偏低、水量与水质保障程度不高的已建供水工程进行改造、配套、升级、联网，以及水资源保护、水质保障和适当新建部分供水工程等。</w:t>
      </w:r>
    </w:p>
    <w:p>
      <w:pPr>
        <w:spacing w:line="580" w:lineRule="exact"/>
        <w:ind w:firstLine="640" w:firstLineChars="200"/>
        <w:rPr>
          <w:color w:val="000000"/>
          <w:szCs w:val="32"/>
        </w:rPr>
      </w:pPr>
      <w:r>
        <w:rPr>
          <w:color w:val="000000"/>
          <w:szCs w:val="32"/>
        </w:rPr>
        <w:t>（4）建设性质</w:t>
      </w:r>
    </w:p>
    <w:p>
      <w:pPr>
        <w:spacing w:line="580" w:lineRule="exact"/>
        <w:ind w:firstLine="640" w:firstLineChars="200"/>
        <w:rPr>
          <w:color w:val="000000"/>
          <w:szCs w:val="32"/>
        </w:rPr>
      </w:pPr>
      <w:r>
        <w:rPr>
          <w:color w:val="000000"/>
          <w:szCs w:val="32"/>
        </w:rPr>
        <w:t>新建、改建。</w:t>
      </w:r>
    </w:p>
    <w:p>
      <w:pPr>
        <w:spacing w:line="580" w:lineRule="exact"/>
        <w:ind w:firstLine="640" w:firstLineChars="200"/>
        <w:rPr>
          <w:color w:val="000000"/>
          <w:szCs w:val="32"/>
        </w:rPr>
      </w:pPr>
      <w:r>
        <w:rPr>
          <w:color w:val="000000"/>
          <w:szCs w:val="32"/>
        </w:rPr>
        <w:t>（5）实施年限</w:t>
      </w:r>
    </w:p>
    <w:p>
      <w:pPr>
        <w:spacing w:line="580" w:lineRule="exact"/>
        <w:ind w:firstLine="640" w:firstLineChars="200"/>
        <w:rPr>
          <w:color w:val="000000"/>
          <w:szCs w:val="32"/>
        </w:rPr>
      </w:pPr>
      <w:r>
        <w:rPr>
          <w:color w:val="000000"/>
          <w:szCs w:val="32"/>
        </w:rPr>
        <w:t>建设期1年为宜。</w:t>
      </w:r>
    </w:p>
    <w:p>
      <w:pPr>
        <w:spacing w:line="580" w:lineRule="exact"/>
        <w:ind w:firstLine="640" w:firstLineChars="200"/>
        <w:rPr>
          <w:color w:val="000000"/>
          <w:szCs w:val="32"/>
        </w:rPr>
      </w:pPr>
      <w:r>
        <w:rPr>
          <w:color w:val="000000"/>
          <w:szCs w:val="32"/>
        </w:rPr>
        <w:t>（6）估算投资及资金来源初步方案</w:t>
      </w:r>
    </w:p>
    <w:p>
      <w:pPr>
        <w:spacing w:line="580" w:lineRule="exact"/>
        <w:ind w:firstLine="640" w:firstLineChars="200"/>
        <w:rPr>
          <w:color w:val="000000"/>
          <w:szCs w:val="32"/>
        </w:rPr>
      </w:pPr>
      <w:r>
        <w:rPr>
          <w:color w:val="000000"/>
          <w:szCs w:val="32"/>
        </w:rPr>
        <w:t>工程投资以项目单位自筹为主，中央预算内投资补助重点对贫困地区予以倾斜，并与各市县区规划任务完成情况等挂钩。</w:t>
      </w:r>
    </w:p>
    <w:p>
      <w:pPr>
        <w:spacing w:line="580" w:lineRule="exact"/>
        <w:ind w:firstLine="640" w:firstLineChars="200"/>
        <w:rPr>
          <w:color w:val="000000"/>
          <w:szCs w:val="32"/>
        </w:rPr>
      </w:pPr>
      <w:r>
        <w:rPr>
          <w:color w:val="000000"/>
          <w:szCs w:val="32"/>
        </w:rPr>
        <w:t>（7）经济社会效益</w:t>
      </w:r>
    </w:p>
    <w:p>
      <w:pPr>
        <w:spacing w:line="580" w:lineRule="exact"/>
        <w:ind w:firstLine="640" w:firstLineChars="200"/>
        <w:rPr>
          <w:color w:val="000000"/>
          <w:szCs w:val="32"/>
        </w:rPr>
      </w:pPr>
      <w:r>
        <w:rPr>
          <w:color w:val="000000"/>
          <w:szCs w:val="32"/>
        </w:rPr>
        <w:t>恢复和提高已建工程供水标准，改善受水区供水条件，巩固提升群众饮水安全水平。</w:t>
      </w:r>
    </w:p>
    <w:p>
      <w:pPr>
        <w:pStyle w:val="2"/>
        <w:widowControl w:val="0"/>
        <w:ind w:left="640" w:firstLine="440"/>
        <w:rPr>
          <w:rFonts w:ascii="Times New Roman" w:hAnsi="Times New Roman"/>
          <w:lang w:eastAsia="zh-CN"/>
        </w:rPr>
      </w:pPr>
    </w:p>
    <w:p>
      <w:pPr>
        <w:pStyle w:val="2"/>
        <w:widowControl w:val="0"/>
        <w:spacing w:before="0" w:after="0" w:line="600" w:lineRule="exact"/>
        <w:ind w:left="0" w:leftChars="0" w:firstLine="0" w:firstLineChars="0"/>
        <w:jc w:val="both"/>
        <w:outlineLvl w:val="0"/>
        <w:rPr>
          <w:rFonts w:ascii="Times New Roman" w:hAnsi="Times New Roman" w:eastAsia="方正小标宋_GBK"/>
          <w:sz w:val="32"/>
          <w:szCs w:val="32"/>
          <w:lang w:val="en-US" w:eastAsia="zh-CN"/>
        </w:rPr>
      </w:pPr>
      <w:bookmarkStart w:id="694" w:name="_Toc16212"/>
    </w:p>
    <w:p>
      <w:pPr>
        <w:pStyle w:val="2"/>
        <w:widowControl w:val="0"/>
        <w:spacing w:before="0" w:after="0" w:line="600" w:lineRule="exact"/>
        <w:ind w:left="0" w:leftChars="0" w:firstLine="0" w:firstLineChars="0"/>
        <w:jc w:val="both"/>
        <w:outlineLvl w:val="0"/>
        <w:rPr>
          <w:rFonts w:ascii="Times New Roman" w:hAnsi="Times New Roman" w:eastAsia="方正小标宋_GBK"/>
          <w:sz w:val="32"/>
          <w:szCs w:val="32"/>
          <w:lang w:val="en-US" w:eastAsia="zh-CN"/>
        </w:rPr>
      </w:pPr>
    </w:p>
    <w:p>
      <w:pPr>
        <w:pStyle w:val="2"/>
        <w:widowControl w:val="0"/>
        <w:spacing w:before="0" w:after="0" w:line="600" w:lineRule="exact"/>
        <w:ind w:left="0" w:leftChars="0" w:firstLine="0" w:firstLineChars="0"/>
        <w:jc w:val="both"/>
        <w:outlineLvl w:val="0"/>
        <w:rPr>
          <w:rFonts w:ascii="Times New Roman" w:hAnsi="Times New Roman" w:eastAsia="方正小标宋_GBK"/>
          <w:sz w:val="32"/>
          <w:szCs w:val="32"/>
          <w:lang w:val="en-US" w:eastAsia="zh-CN"/>
        </w:rPr>
      </w:pPr>
    </w:p>
    <w:p>
      <w:pPr>
        <w:pStyle w:val="2"/>
        <w:widowControl w:val="0"/>
        <w:spacing w:before="0" w:after="0" w:line="600" w:lineRule="exact"/>
        <w:ind w:left="0" w:leftChars="0" w:firstLine="0" w:firstLineChars="0"/>
        <w:jc w:val="both"/>
        <w:outlineLvl w:val="0"/>
        <w:rPr>
          <w:rFonts w:ascii="Times New Roman" w:hAnsi="Times New Roman" w:eastAsia="方正小标宋_GBK"/>
          <w:sz w:val="32"/>
          <w:szCs w:val="32"/>
          <w:lang w:val="en-US" w:eastAsia="zh-CN"/>
        </w:rPr>
      </w:pPr>
    </w:p>
    <w:p>
      <w:pPr>
        <w:pStyle w:val="2"/>
        <w:widowControl w:val="0"/>
        <w:spacing w:before="0" w:after="0" w:line="600" w:lineRule="exact"/>
        <w:ind w:left="0" w:leftChars="0" w:firstLine="0" w:firstLineChars="0"/>
        <w:jc w:val="center"/>
        <w:outlineLvl w:val="0"/>
        <w:rPr>
          <w:rFonts w:ascii="Times New Roman" w:hAnsi="Times New Roman" w:eastAsia="方正小标宋_GBK"/>
          <w:color w:val="FF0000"/>
          <w:sz w:val="44"/>
          <w:szCs w:val="44"/>
          <w:lang w:val="en-US" w:eastAsia="zh-CN"/>
        </w:rPr>
      </w:pPr>
      <w:bookmarkStart w:id="695" w:name="_Toc16261"/>
      <w:r>
        <w:rPr>
          <w:rFonts w:ascii="Times New Roman" w:hAnsi="Times New Roman" w:eastAsia="方正小标宋_GBK"/>
          <w:sz w:val="44"/>
          <w:szCs w:val="44"/>
          <w:lang w:val="en-US" w:eastAsia="zh-CN"/>
        </w:rPr>
        <w:t xml:space="preserve">第十一部分  </w:t>
      </w:r>
      <w:bookmarkEnd w:id="694"/>
      <w:r>
        <w:rPr>
          <w:rFonts w:ascii="Times New Roman" w:hAnsi="Times New Roman" w:eastAsia="方正小标宋_GBK"/>
          <w:color w:val="auto"/>
          <w:sz w:val="44"/>
          <w:szCs w:val="44"/>
          <w:lang w:val="en-US" w:eastAsia="zh-CN"/>
        </w:rPr>
        <w:t>社会民生</w:t>
      </w:r>
      <w:bookmarkEnd w:id="695"/>
      <w:r>
        <w:rPr>
          <w:rFonts w:hint="eastAsia" w:ascii="Times New Roman" w:hAnsi="Times New Roman" w:eastAsia="方正小标宋_GBK"/>
          <w:color w:val="auto"/>
          <w:sz w:val="44"/>
          <w:szCs w:val="44"/>
          <w:lang w:val="en-US" w:eastAsia="zh-CN"/>
        </w:rPr>
        <w:t>公共服务</w:t>
      </w:r>
    </w:p>
    <w:p>
      <w:pPr>
        <w:pStyle w:val="2"/>
        <w:widowControl w:val="0"/>
        <w:spacing w:before="0" w:after="0" w:line="600" w:lineRule="exact"/>
        <w:ind w:left="0" w:leftChars="0" w:firstLine="0" w:firstLineChars="0"/>
        <w:jc w:val="center"/>
        <w:outlineLvl w:val="0"/>
        <w:rPr>
          <w:rFonts w:ascii="Times New Roman" w:hAnsi="Times New Roman" w:eastAsia="仿宋_GB2312"/>
          <w:sz w:val="32"/>
          <w:szCs w:val="32"/>
          <w:lang w:val="en-US" w:eastAsia="zh-CN"/>
        </w:rPr>
      </w:pPr>
    </w:p>
    <w:p>
      <w:pPr>
        <w:pStyle w:val="2"/>
        <w:widowControl w:val="0"/>
        <w:spacing w:before="0" w:after="0" w:line="580" w:lineRule="exact"/>
        <w:ind w:left="0" w:leftChars="0" w:firstLine="0" w:firstLineChars="0"/>
        <w:jc w:val="both"/>
        <w:outlineLvl w:val="1"/>
        <w:rPr>
          <w:rFonts w:ascii="Times New Roman" w:hAnsi="Times New Roman" w:eastAsia="黑体"/>
          <w:sz w:val="32"/>
          <w:szCs w:val="32"/>
          <w:lang w:val="en-US" w:eastAsia="zh-CN"/>
        </w:rPr>
      </w:pPr>
      <w:r>
        <w:rPr>
          <w:rFonts w:ascii="Times New Roman" w:hAnsi="Times New Roman" w:eastAsia="仿宋_GB2312"/>
          <w:sz w:val="32"/>
          <w:szCs w:val="32"/>
          <w:lang w:val="en-US" w:eastAsia="zh-CN"/>
        </w:rPr>
        <w:t xml:space="preserve">    </w:t>
      </w:r>
      <w:bookmarkStart w:id="696" w:name="_Toc7932"/>
      <w:bookmarkStart w:id="697" w:name="_Toc2949"/>
      <w:r>
        <w:rPr>
          <w:rFonts w:ascii="Times New Roman" w:hAnsi="Times New Roman" w:eastAsia="黑体"/>
          <w:sz w:val="32"/>
          <w:szCs w:val="32"/>
          <w:lang w:val="en-US" w:eastAsia="zh-CN"/>
        </w:rPr>
        <w:t>一、教育领域</w:t>
      </w:r>
      <w:bookmarkEnd w:id="696"/>
      <w:bookmarkEnd w:id="697"/>
    </w:p>
    <w:p>
      <w:pPr>
        <w:pStyle w:val="8"/>
        <w:widowControl w:val="0"/>
        <w:spacing w:line="580" w:lineRule="exact"/>
        <w:ind w:firstLine="640" w:firstLineChars="200"/>
        <w:jc w:val="both"/>
        <w:outlineLvl w:val="2"/>
        <w:rPr>
          <w:rFonts w:ascii="Times New Roman" w:hAnsi="Times New Roman" w:eastAsia="楷体" w:cs="Times New Roman"/>
          <w:sz w:val="32"/>
          <w:szCs w:val="32"/>
        </w:rPr>
      </w:pPr>
      <w:bookmarkStart w:id="698" w:name="_Toc19455"/>
      <w:bookmarkStart w:id="699" w:name="_Toc12010"/>
      <w:r>
        <w:rPr>
          <w:rFonts w:ascii="Times New Roman" w:hAnsi="Times New Roman" w:eastAsia="楷体" w:cs="Times New Roman"/>
          <w:sz w:val="32"/>
          <w:szCs w:val="32"/>
        </w:rPr>
        <w:t>（一）义务教育学校建设项目</w:t>
      </w:r>
      <w:bookmarkEnd w:id="698"/>
      <w:bookmarkEnd w:id="699"/>
    </w:p>
    <w:p>
      <w:pPr>
        <w:pStyle w:val="8"/>
        <w:widowControl w:val="0"/>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1.建设目标</w:t>
      </w:r>
    </w:p>
    <w:p>
      <w:pPr>
        <w:pStyle w:val="8"/>
        <w:widowControl w:val="0"/>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十四五”期间，结合义务教育发展存在的不充分不平衡问题，实施义务教育学校建设工程，逐级建立义务教育学校标准化建设台账，合理布局城乡义务教育学校，有序扩大城镇教育资源供给，全面消除城镇学校大班额，加强寄宿制学校、农村小规模学校建设，推动县域内义务教育学校建设标准统一、教育装备配置统一。</w:t>
      </w:r>
    </w:p>
    <w:p>
      <w:pPr>
        <w:pStyle w:val="8"/>
        <w:widowControl w:val="0"/>
        <w:numPr>
          <w:ilvl w:val="0"/>
          <w:numId w:val="6"/>
        </w:numPr>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建设任务</w:t>
      </w:r>
    </w:p>
    <w:p>
      <w:pPr>
        <w:pStyle w:val="8"/>
        <w:widowControl w:val="0"/>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按照自治区义务教育学校基本办学标准要求，继续加大对困难地区和薄弱学校支持力度，完善农村小规模学校（教学点）基本办学条件。加强乡镇寄宿制学校建设，为住宿学生配备宿舍、食堂、厕所、澡堂等基本生活设施和运动场地等设施，逐步实现未达标城乡义务教育学校的校舍、场所标准化。同时支持“互联网+教育”示范学校建设。办公楼、礼堂、体育馆、塑胶跑道、游泳馆（池），不列入项目规划。</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3.实施范围</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覆盖全区，补助资金重点支持集中连片特困地区县、国家扶贫开发重点县，以及革命老区贫困县。</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4.项目遴选</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（1）项目学校应按照“建设一所，达标一所”的原则，在项目县（区）独立设置的公办义务教育学校范围内遴选。</w:t>
      </w:r>
      <w:r>
        <w:rPr>
          <w:rFonts w:ascii="Times New Roman" w:hAnsi="Times New Roman" w:eastAsia="仿宋_GB2312" w:cs="Times New Roman"/>
          <w:color w:val="000000"/>
          <w:sz w:val="32"/>
          <w:szCs w:val="32"/>
        </w:rPr>
        <w:t>不得将资金资源向少数优质学校集中，打造“豪华校”、“重点校”。</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（2）根据预测的中长期在校生人数，按照《农村普通中小学校建设标准》进行测算，学生教学生活设施存在较大缺口，且难以通过调整房舍用途解决学生教学生活用房的学校，要优先考虑纳入建设规划。</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（3）优先支持中小学集中改厕项目。</w:t>
      </w:r>
    </w:p>
    <w:p>
      <w:pPr>
        <w:pStyle w:val="8"/>
        <w:widowControl w:val="0"/>
        <w:spacing w:line="580" w:lineRule="exact"/>
        <w:ind w:firstLine="567"/>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（4）已纳入“十三五”教育现代化推进工程，未补助过但仍有建设需求且符合本专项要求的学校统筹考虑支持。</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（5）要与中央或地方实施的其他工程（项目）相衔接，提高资金使用效益，避免重复建设。</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6）凡纳入建设规划的学校，要预先做好校园布局规划，按建设程序做好前期准备工作。要因地制宜推广集中改厕、太阳能利用等资源综合利用方案，积极应用节能环保技术和材料，建设资源节约型和环境友好型生态校园。</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（7）项目学校必须是经校舍场址安全排查后不存在安全隐患的学校，在洪涝、病险库、淤地坝、堰塞湖、蓄水池、尾矿坝、储灰库威胁以及雷电、地质灾害等安全隐患未消除前，一律不得纳入建设规划。</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5.资金来源</w:t>
      </w:r>
    </w:p>
    <w:p>
      <w:pPr>
        <w:pStyle w:val="8"/>
        <w:widowControl w:val="0"/>
        <w:spacing w:line="580" w:lineRule="exact"/>
        <w:ind w:firstLine="567"/>
        <w:rPr>
          <w:rFonts w:ascii="Times New Roman" w:hAnsi="Times New Roman" w:eastAsia="仿宋_GB2312" w:cs="Times New Roman"/>
          <w:bCs/>
          <w:sz w:val="32"/>
          <w:szCs w:val="32"/>
        </w:rPr>
      </w:pPr>
      <w:r>
        <w:rPr>
          <w:rFonts w:ascii="Times New Roman" w:hAnsi="Times New Roman" w:eastAsia="仿宋_GB2312" w:cs="Times New Roman"/>
          <w:bCs/>
          <w:sz w:val="32"/>
          <w:szCs w:val="32"/>
        </w:rPr>
        <w:t>（1）积极争取中央预算内资金和安排自治区预算内统筹投资支持项目建设</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自治区发展改革委和教育厅将加强与国家发展改革委、教育部衔接汇报，积极争取中央预算内资金支持。同时，自治区发展改革委和自治区教育厅将根据项目谋划储备、实施情况、刚性需求、建设条件等因素，适时安排自治区预算内统筹投资予以补助。</w:t>
      </w:r>
    </w:p>
    <w:p>
      <w:pPr>
        <w:pStyle w:val="8"/>
        <w:widowControl w:val="0"/>
        <w:spacing w:line="580" w:lineRule="exact"/>
        <w:ind w:firstLine="567"/>
        <w:rPr>
          <w:rFonts w:ascii="Times New Roman" w:hAnsi="Times New Roman" w:eastAsia="仿宋_GB2312" w:cs="Times New Roman"/>
          <w:bCs/>
          <w:sz w:val="32"/>
          <w:szCs w:val="32"/>
        </w:rPr>
      </w:pPr>
      <w:r>
        <w:rPr>
          <w:rFonts w:ascii="Times New Roman" w:hAnsi="Times New Roman" w:eastAsia="仿宋_GB2312" w:cs="Times New Roman"/>
          <w:bCs/>
          <w:sz w:val="32"/>
          <w:szCs w:val="32"/>
        </w:rPr>
        <w:t>（2）鼓励市、县政府加大投入</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中南部县（区）项目由中央和自治区全额安排，川区项目（除银川市主城区外）通过争取中央预算内投资和市、县（区）政府配套落实。</w:t>
      </w:r>
    </w:p>
    <w:p>
      <w:pPr>
        <w:pStyle w:val="8"/>
        <w:widowControl w:val="0"/>
        <w:spacing w:line="580" w:lineRule="exact"/>
        <w:ind w:firstLine="567"/>
        <w:rPr>
          <w:rFonts w:ascii="Times New Roman" w:hAnsi="Times New Roman" w:eastAsia="仿宋_GB2312" w:cs="Times New Roman"/>
          <w:b/>
          <w:sz w:val="32"/>
          <w:szCs w:val="32"/>
        </w:rPr>
      </w:pPr>
      <w:r>
        <w:rPr>
          <w:rFonts w:ascii="Times New Roman" w:hAnsi="Times New Roman" w:eastAsia="仿宋_GB2312" w:cs="Times New Roman"/>
          <w:color w:val="000000"/>
          <w:sz w:val="32"/>
          <w:szCs w:val="32"/>
        </w:rPr>
        <w:t>鼓励各地结合实际加大本级资金投入，分解中央专项补助和自治区预算内统筹补助资金时将把各市、县（区）规划投资情况作为重要参考因素。</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6.其他要求</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（1）按上述方案、原则和要求，建设规划要测算到县、规划到校、落实到单体建筑。</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（2）以市、县（区）为单位编制5年规划项目，以及3年滚动实施计划。</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（3）建设规划要切实突出重点，纳入建设规划的建设项目区分轻重缓急，排出拟实施的先后顺序，分年度实施。</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（4）各地在加强义务教育校舍建设的同时，要同步推进项目学校的教师队伍等其他方面建设。</w:t>
      </w:r>
    </w:p>
    <w:p>
      <w:pPr>
        <w:pStyle w:val="8"/>
        <w:widowControl w:val="0"/>
        <w:spacing w:line="580" w:lineRule="exact"/>
        <w:jc w:val="both"/>
        <w:outlineLvl w:val="2"/>
        <w:rPr>
          <w:rFonts w:ascii="Times New Roman" w:hAnsi="Times New Roman" w:eastAsia="楷体" w:cs="Times New Roman"/>
          <w:sz w:val="32"/>
          <w:szCs w:val="32"/>
        </w:rPr>
      </w:pPr>
      <w:r>
        <w:rPr>
          <w:rFonts w:ascii="Times New Roman" w:hAnsi="Times New Roman" w:eastAsia="仿宋_GB2312" w:cs="Times New Roman"/>
          <w:sz w:val="32"/>
          <w:szCs w:val="32"/>
        </w:rPr>
        <w:t xml:space="preserve">    </w:t>
      </w:r>
      <w:bookmarkStart w:id="700" w:name="_Toc24863"/>
      <w:bookmarkStart w:id="701" w:name="_Toc2030"/>
      <w:r>
        <w:rPr>
          <w:rFonts w:ascii="Times New Roman" w:hAnsi="Times New Roman" w:eastAsia="楷体" w:cs="Times New Roman"/>
          <w:sz w:val="32"/>
          <w:szCs w:val="32"/>
        </w:rPr>
        <w:t>（二）艰苦地区农村学校教师周转宿舍建设项目</w:t>
      </w:r>
      <w:bookmarkEnd w:id="700"/>
      <w:bookmarkEnd w:id="701"/>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1.建设目标</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十四五”期间在边远艰苦地区新建和改扩建一批布局合理、实用适用的农村学校教师周转宿舍，加快解决长期在农村任教、距家较远、学校住宿有困难的教师住宿问题。主要面向农村义务教育阶段学校特设岗位教师、支教和交流教师（包括大学生志愿者西部支教教师、异地交流教师和顶岗实习师范生）、离城镇较远的边远艰苦地区教师、寄宿制学校管理教师等。为缩小城乡、区域教育差距，全面提高义务教育质量，基本实现区域内均衡发展创造条件。</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2.建设内容</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支持教师周转宿舍土建、水暖等配套设施建设，以及进行简单装修和配备基本生活用具。基本生活用具主要包括床、衣柜、书桌椅、必备灶具等。在建设方式上，包括整体新建和对学校现有校舍进行改扩建，重点支持利用中小学布局调整后富余校舍改扩建周转宿舍。周转宿舍单套面积不超过35平方米。</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3.项目遴选</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项目实施范围覆盖全区边远艰苦地区农村学校。</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bCs/>
          <w:sz w:val="32"/>
          <w:szCs w:val="32"/>
        </w:rPr>
        <w:t>（1）项目县范围</w:t>
      </w:r>
      <w:r>
        <w:rPr>
          <w:rFonts w:ascii="Times New Roman" w:hAnsi="Times New Roman" w:eastAsia="仿宋_GB2312" w:cs="Times New Roman"/>
          <w:sz w:val="32"/>
          <w:szCs w:val="32"/>
        </w:rPr>
        <w:t>：从最边远、最艰苦、最困难、最急需的地方做起，重点支持经济社会发展滞后、自然条件恶劣、地理交通不便的县。</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bCs/>
          <w:sz w:val="32"/>
          <w:szCs w:val="32"/>
        </w:rPr>
        <w:t>（2）项目学校范围</w:t>
      </w:r>
      <w:r>
        <w:rPr>
          <w:rFonts w:ascii="Times New Roman" w:hAnsi="Times New Roman" w:eastAsia="仿宋_GB2312" w:cs="Times New Roman"/>
          <w:sz w:val="32"/>
          <w:szCs w:val="32"/>
        </w:rPr>
        <w:t>：重点支持农村义务教育阶段学校，包括乡镇和村级学校（含必要的教学点）。各项目县应合理布局项目学校，原则上选择独立设置的乡镇初中、小学和确有必要保留的教学点，也可若干所学校择址整合建设周转宿舍。项目学校应有稳定的生源，布局调整规划已确认10年内不会被撤销。要优先解决特岗教师和支教交流等教师较集中的学校。纳入规划项目学校需在县内进行公示。</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（3）优先支持利用现有校舍资源及富余校舍资源建设的周转宿舍。</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（4）项目学校应有合理的校园布局规划，并按规定做好前期工作，落实建设用地，项目选址无安全隐患。县级政府负责足额安排征地和拆迁补偿安置费用，落实配套条件。</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（5）“十三五”期间纳入规划但未完成的项目优先支持。</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“十三五”期间周转宿舍管理不善，特别是将周转宿舍作为教师福利房分配的学校，不得列入“十四五”项目库。</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4.资金来源</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边远艰苦地区农村学校教师周转宿舍建设，由中央和地方共同投入和组织实施。项目资金由中央专项资金、自治区统筹投资、市县政府资金和其他投资等多渠道投入组成。其中，中央专项资金不超过80%，自治区统筹投资主要支持集中连片特困地区、国定贫困县以及红寺堡区。</w:t>
      </w:r>
    </w:p>
    <w:p>
      <w:pPr>
        <w:pStyle w:val="8"/>
        <w:widowControl w:val="0"/>
        <w:spacing w:line="580" w:lineRule="exact"/>
        <w:jc w:val="both"/>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bookmarkStart w:id="702" w:name="_Toc22119"/>
      <w:bookmarkStart w:id="703" w:name="_Toc8618"/>
      <w:r>
        <w:rPr>
          <w:rFonts w:ascii="Times New Roman" w:hAnsi="Times New Roman" w:eastAsia="楷体" w:cs="Times New Roman"/>
          <w:sz w:val="32"/>
          <w:szCs w:val="32"/>
        </w:rPr>
        <w:t>（三）教育基础薄弱县普通高中建设项目</w:t>
      </w:r>
      <w:bookmarkEnd w:id="702"/>
      <w:bookmarkEnd w:id="703"/>
    </w:p>
    <w:p>
      <w:pPr>
        <w:pStyle w:val="8"/>
        <w:widowControl w:val="0"/>
        <w:spacing w:line="580" w:lineRule="exact"/>
        <w:ind w:firstLine="567"/>
        <w:rPr>
          <w:rFonts w:ascii="Times New Roman" w:hAnsi="Times New Roman" w:eastAsia="仿宋_GB2312" w:cs="Times New Roman"/>
          <w:bCs/>
          <w:sz w:val="32"/>
          <w:szCs w:val="32"/>
        </w:rPr>
      </w:pPr>
      <w:r>
        <w:rPr>
          <w:rFonts w:ascii="Times New Roman" w:hAnsi="Times New Roman" w:eastAsia="仿宋_GB2312" w:cs="Times New Roman"/>
          <w:bCs/>
          <w:sz w:val="32"/>
          <w:szCs w:val="32"/>
        </w:rPr>
        <w:t>1.建设目标和任务</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建设目标：通过支持发展普通高中，扩大培养能力，提高高中阶段毛入学率，使全区高中阶段教育适应新课改和育人需要，推动基础设施建设，加快实现普及高中阶段教育目标。</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建设任务：改扩建一批普通高中或完全中学（以下简称项目学校）教学和学生生活类校舍，适应新课改需要，扩大培养能力。</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支持</w:t>
      </w:r>
      <w:r>
        <w:rPr>
          <w:rFonts w:ascii="Times New Roman" w:hAnsi="Times New Roman" w:eastAsia="仿宋_GB2312" w:cs="Times New Roman"/>
          <w:sz w:val="32"/>
          <w:szCs w:val="32"/>
        </w:rPr>
        <w:t>范围和建设内容</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全区所有县（区），重点支持革命老区、集中连片特殊困难地区县（区）。</w:t>
      </w:r>
    </w:p>
    <w:p>
      <w:pPr>
        <w:pStyle w:val="8"/>
        <w:widowControl w:val="0"/>
        <w:spacing w:line="580" w:lineRule="exact"/>
        <w:ind w:firstLine="567"/>
        <w:rPr>
          <w:rFonts w:ascii="Times New Roman" w:hAnsi="Times New Roman" w:eastAsia="仿宋_GB2312" w:cs="Times New Roman"/>
          <w:b/>
          <w:sz w:val="32"/>
          <w:szCs w:val="32"/>
        </w:rPr>
      </w:pPr>
      <w:r>
        <w:rPr>
          <w:rFonts w:ascii="Times New Roman" w:hAnsi="Times New Roman" w:eastAsia="仿宋_GB2312" w:cs="Times New Roman"/>
          <w:sz w:val="32"/>
          <w:szCs w:val="32"/>
        </w:rPr>
        <w:t>建设内容：普通高中或完全中学的教学用房、实验用房、活动用房、学生宿舍、学生食堂、体育运动场等校园校舍设施。</w:t>
      </w:r>
    </w:p>
    <w:p>
      <w:pPr>
        <w:spacing w:line="580" w:lineRule="exact"/>
        <w:ind w:firstLine="640" w:firstLineChars="200"/>
        <w:rPr>
          <w:szCs w:val="32"/>
        </w:rPr>
      </w:pPr>
      <w:r>
        <w:rPr>
          <w:szCs w:val="32"/>
        </w:rPr>
        <w:t>3.项目遴选</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通过对全区范围内各县的义务教育、中等职业教育和普通高中教育发展状况及趋势进行全面分析，结合当地教育发展规划，区分轻重缓急，将高中阶段教育毛入学率过低、普通高中学位缺口问题突出的县优先纳入规划。</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在现有普通高中（或完全中学）中，选择位置适宜、对扩大县域普通高中教育培养能力作用较大的学校，作为项目学校。项目学校要位于人口较多、交通便利的大镇，并基本具备改扩建条件。要优先考虑独立建制的普通高中。鼓励项目县挖掘现有普通高中潜力扩建，原则上不支持新征地扩建。</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项目县内项目学校的数量按以下原则把握：30万以下人口的县支持1所项目学校；30万以上人口、普通高中学位缺口较大的县，可支持2所项目学校。</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不宜作为项目学校的包括：当前普通高中在校生已超过4000人的学校；新设置或易址迁建、重建的学校；已由其它渠道投资基本建成，对扩大培养能力作用有限的学校。</w:t>
      </w:r>
    </w:p>
    <w:p>
      <w:pPr>
        <w:pStyle w:val="8"/>
        <w:widowControl w:val="0"/>
        <w:spacing w:line="580" w:lineRule="exact"/>
        <w:ind w:firstLine="567"/>
        <w:rPr>
          <w:rFonts w:ascii="Times New Roman" w:hAnsi="Times New Roman" w:eastAsia="仿宋_GB2312" w:cs="Times New Roman"/>
          <w:bCs/>
          <w:sz w:val="32"/>
          <w:szCs w:val="32"/>
        </w:rPr>
      </w:pPr>
      <w:r>
        <w:rPr>
          <w:rFonts w:ascii="Times New Roman" w:hAnsi="Times New Roman" w:eastAsia="仿宋_GB2312" w:cs="Times New Roman"/>
          <w:bCs/>
          <w:sz w:val="32"/>
          <w:szCs w:val="32"/>
        </w:rPr>
        <w:t>4.建设项目和投资估算</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各县、项目学校要根据当地高中阶段教育发展目标，科学规划项目学校扩大培养能力的规模，根据建设标准合理测算校舍需求，完善校园规划，按照“安全、够用、实用、填平补齐”的原则，落实改扩建或新建方案，形成各项目县、项目学校建设规划。</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建设项目选址、面积、建筑标准要符合《城市普通中小学校校舍建设标准》、《建筑工程抗震设防分类标准》等相关要求。</w:t>
      </w:r>
    </w:p>
    <w:p>
      <w:pPr>
        <w:pStyle w:val="8"/>
        <w:widowControl w:val="0"/>
        <w:spacing w:line="580" w:lineRule="exact"/>
        <w:ind w:firstLine="567"/>
        <w:rPr>
          <w:rFonts w:ascii="Times New Roman" w:hAnsi="Times New Roman" w:eastAsia="仿宋_GB2312" w:cs="Times New Roman"/>
          <w:sz w:val="32"/>
          <w:szCs w:val="32"/>
        </w:rPr>
      </w:pPr>
      <w:r>
        <w:rPr>
          <w:rFonts w:ascii="Times New Roman" w:hAnsi="Times New Roman" w:eastAsia="仿宋_GB2312" w:cs="Times New Roman"/>
          <w:sz w:val="32"/>
          <w:szCs w:val="32"/>
        </w:rPr>
        <w:t>项目主要是为满足教学课改和走班制需要的教学类、学生生活类校舍的土建，原则上不支持风雨操场。纳入专项规划的建设项目分年实施。征地拆迁和其他附属设施建设、教学仪器等设备配置所需投入不列入本规划范围。</w:t>
      </w:r>
    </w:p>
    <w:p>
      <w:pPr>
        <w:spacing w:line="580" w:lineRule="exact"/>
        <w:ind w:firstLine="640" w:firstLineChars="200"/>
        <w:rPr>
          <w:szCs w:val="32"/>
        </w:rPr>
      </w:pPr>
      <w:r>
        <w:rPr>
          <w:szCs w:val="32"/>
        </w:rPr>
        <w:t>5.资金来源</w:t>
      </w:r>
    </w:p>
    <w:p>
      <w:pPr>
        <w:spacing w:line="580" w:lineRule="exact"/>
        <w:ind w:firstLine="640" w:firstLineChars="200"/>
        <w:rPr>
          <w:spacing w:val="6"/>
          <w:szCs w:val="32"/>
        </w:rPr>
      </w:pPr>
      <w:r>
        <w:rPr>
          <w:szCs w:val="32"/>
        </w:rPr>
        <w:t>以</w:t>
      </w:r>
      <w:r>
        <w:rPr>
          <w:spacing w:val="6"/>
          <w:szCs w:val="32"/>
        </w:rPr>
        <w:t>项目学校为单位，将符合专项要求的建设项目一次性纳入项目学校建设规划，估算总投资。各建设项目不得与其他投入渠道安排的项目重复。严禁将已建成项目纳入专项建设规划套取资金。</w:t>
      </w:r>
    </w:p>
    <w:p>
      <w:pPr>
        <w:spacing w:line="580" w:lineRule="exact"/>
        <w:ind w:firstLine="640" w:firstLineChars="200"/>
        <w:rPr>
          <w:kern w:val="0"/>
          <w:szCs w:val="32"/>
        </w:rPr>
      </w:pPr>
      <w:r>
        <w:rPr>
          <w:kern w:val="0"/>
          <w:szCs w:val="32"/>
        </w:rPr>
        <w:t>所需资金通过申请中央预算内投资、安排自治区预算内统筹投资和各县（市、区）自筹共同解决，中南部地区由中央和自治区承担，中央专项资金不超过80%，川区县中央和自治区资金不超过80%。建设资金全部用于项目土建。</w:t>
      </w:r>
    </w:p>
    <w:p>
      <w:pPr>
        <w:spacing w:line="580" w:lineRule="exact"/>
        <w:outlineLvl w:val="2"/>
        <w:rPr>
          <w:szCs w:val="32"/>
        </w:rPr>
      </w:pPr>
      <w:r>
        <w:rPr>
          <w:szCs w:val="32"/>
        </w:rPr>
        <w:t xml:space="preserve">  </w:t>
      </w:r>
      <w:bookmarkStart w:id="704" w:name="_Toc18041"/>
      <w:bookmarkStart w:id="705" w:name="_Toc17054"/>
      <w:r>
        <w:rPr>
          <w:rFonts w:eastAsia="楷体"/>
          <w:kern w:val="0"/>
          <w:szCs w:val="32"/>
        </w:rPr>
        <w:t>（四）公共实训基地建设项目</w:t>
      </w:r>
      <w:bookmarkEnd w:id="704"/>
      <w:bookmarkEnd w:id="705"/>
    </w:p>
    <w:p>
      <w:pPr>
        <w:pStyle w:val="2"/>
        <w:widowControl w:val="0"/>
        <w:spacing w:before="0" w:after="0" w:line="580" w:lineRule="exact"/>
        <w:ind w:left="0" w:leftChars="0" w:firstLine="0" w:firstLineChars="0"/>
        <w:rPr>
          <w:rFonts w:ascii="Times New Roman" w:hAnsi="Times New Roman" w:eastAsia="仿宋_GB2312"/>
          <w:kern w:val="0"/>
          <w:sz w:val="32"/>
          <w:szCs w:val="32"/>
          <w:lang w:val="en-US" w:eastAsia="zh-CN"/>
        </w:rPr>
      </w:pPr>
      <w:r>
        <w:rPr>
          <w:rFonts w:ascii="Times New Roman" w:hAnsi="Times New Roman" w:eastAsia="仿宋_GB2312"/>
          <w:kern w:val="0"/>
          <w:sz w:val="32"/>
          <w:szCs w:val="32"/>
          <w:lang w:val="en-US" w:eastAsia="zh-CN"/>
        </w:rPr>
        <w:t xml:space="preserve">    1.项目概述</w:t>
      </w:r>
    </w:p>
    <w:p>
      <w:pPr>
        <w:pStyle w:val="2"/>
        <w:widowControl w:val="0"/>
        <w:spacing w:before="0" w:after="0" w:line="580" w:lineRule="exact"/>
        <w:ind w:left="0" w:leftChars="0" w:firstLine="640" w:firstLineChars="0"/>
        <w:rPr>
          <w:rFonts w:ascii="Times New Roman" w:hAnsi="Times New Roman" w:eastAsia="仿宋_GB2312"/>
          <w:kern w:val="0"/>
          <w:sz w:val="32"/>
          <w:szCs w:val="32"/>
          <w:lang w:val="en-US" w:eastAsia="zh-CN"/>
        </w:rPr>
      </w:pPr>
      <w:r>
        <w:rPr>
          <w:rFonts w:ascii="Times New Roman" w:hAnsi="Times New Roman" w:eastAsia="仿宋_GB2312"/>
          <w:kern w:val="0"/>
          <w:sz w:val="32"/>
          <w:szCs w:val="32"/>
          <w:lang w:val="en-US" w:eastAsia="zh-CN"/>
        </w:rPr>
        <w:t>公共实训基地指由政府主导建设、向城乡各类劳动者以及职业院校、职业培训机构、企业等提供技能训练、技能竞赛、技能鉴定、创业孵化、师资培训、课程研发等服务的公共性、公益性、示范性、综合性职业技能实训场所。</w:t>
      </w:r>
    </w:p>
    <w:p>
      <w:pPr>
        <w:spacing w:line="580" w:lineRule="exact"/>
        <w:ind w:firstLine="640" w:firstLineChars="200"/>
        <w:jc w:val="left"/>
        <w:rPr>
          <w:szCs w:val="32"/>
        </w:rPr>
      </w:pPr>
      <w:r>
        <w:rPr>
          <w:szCs w:val="32"/>
        </w:rPr>
        <w:t>2.建设目标</w:t>
      </w:r>
    </w:p>
    <w:p>
      <w:pPr>
        <w:pStyle w:val="2"/>
        <w:widowControl w:val="0"/>
        <w:spacing w:before="0" w:after="0" w:line="580" w:lineRule="exact"/>
        <w:ind w:left="0" w:leftChars="0" w:firstLine="640"/>
        <w:rPr>
          <w:rFonts w:ascii="Times New Roman" w:hAnsi="Times New Roman" w:eastAsia="仿宋_GB2312"/>
          <w:sz w:val="32"/>
          <w:szCs w:val="32"/>
          <w:lang w:eastAsia="zh-CN"/>
        </w:rPr>
      </w:pPr>
      <w:r>
        <w:rPr>
          <w:rFonts w:ascii="Times New Roman" w:hAnsi="Times New Roman" w:eastAsia="仿宋_GB2312"/>
          <w:sz w:val="32"/>
          <w:szCs w:val="32"/>
          <w:lang w:eastAsia="zh-CN"/>
        </w:rPr>
        <w:t>贯彻落实劳动者终身职业技能培训制度，完善我区省市县三级</w:t>
      </w:r>
      <w:r>
        <w:rPr>
          <w:rFonts w:ascii="Times New Roman" w:hAnsi="Times New Roman" w:eastAsia="仿宋_GB2312"/>
          <w:sz w:val="32"/>
          <w:szCs w:val="32"/>
          <w:lang w:val="en-US" w:eastAsia="zh-CN"/>
        </w:rPr>
        <w:t>公共职业技能实训体系，</w:t>
      </w:r>
      <w:r>
        <w:rPr>
          <w:rFonts w:ascii="Times New Roman" w:hAnsi="Times New Roman" w:eastAsia="仿宋_GB2312"/>
          <w:sz w:val="32"/>
          <w:szCs w:val="32"/>
          <w:lang w:eastAsia="zh-CN"/>
        </w:rPr>
        <w:t>发挥公共实训基地建设对培养技能人才、带动就业创业和促进居民增收的积极作用，不断提高劳动力流动能力和就业质量。</w:t>
      </w:r>
    </w:p>
    <w:p>
      <w:pPr>
        <w:spacing w:line="580" w:lineRule="exact"/>
        <w:rPr>
          <w:szCs w:val="32"/>
        </w:rPr>
      </w:pPr>
      <w:r>
        <w:rPr>
          <w:b/>
          <w:bCs/>
          <w:szCs w:val="32"/>
        </w:rPr>
        <w:t xml:space="preserve">   </w:t>
      </w:r>
      <w:r>
        <w:rPr>
          <w:szCs w:val="32"/>
        </w:rPr>
        <w:t xml:space="preserve"> 3.建设规模和内容</w:t>
      </w:r>
    </w:p>
    <w:p>
      <w:pPr>
        <w:spacing w:line="580" w:lineRule="exact"/>
        <w:ind w:firstLine="640"/>
        <w:rPr>
          <w:szCs w:val="32"/>
        </w:rPr>
      </w:pPr>
      <w:r>
        <w:rPr>
          <w:szCs w:val="32"/>
        </w:rPr>
        <w:t>坚持新建、改扩建、购置相结合，其中省级大型公共实训基地建筑面积一般不低于15000平方米，可承担15个职业（工种）技能训练；地市级综合型公共实训基地建筑面积一般不低于8000平方米，可承担10个以上职业（工种）技能训练；县级地方产业特色型公共实训基地建筑面积一般不低于3000平方米，可承担8个以上职业（工种）技能训练。公共实训基地一般由实训场地、教研室、仓库、信息化设施以及必要的基本设施和辅助设施组成，实训场地一般采用框架式建筑结构，面积要满足培训要求。</w:t>
      </w:r>
    </w:p>
    <w:p>
      <w:pPr>
        <w:spacing w:line="580" w:lineRule="exact"/>
        <w:ind w:firstLine="640"/>
        <w:rPr>
          <w:szCs w:val="32"/>
        </w:rPr>
      </w:pPr>
      <w:r>
        <w:rPr>
          <w:szCs w:val="32"/>
        </w:rPr>
        <w:t>4.资金来源</w:t>
      </w:r>
    </w:p>
    <w:p>
      <w:pPr>
        <w:spacing w:line="580" w:lineRule="exact"/>
        <w:ind w:firstLine="640"/>
        <w:rPr>
          <w:szCs w:val="32"/>
        </w:rPr>
      </w:pPr>
      <w:r>
        <w:rPr>
          <w:szCs w:val="32"/>
        </w:rPr>
        <w:t>以政府投资（中央预算内投资补助+地方预算内资金配套）为主，吸引社会资本形成合力。</w:t>
      </w:r>
    </w:p>
    <w:p>
      <w:pPr>
        <w:pStyle w:val="2"/>
        <w:widowControl w:val="0"/>
        <w:spacing w:before="0" w:after="0" w:line="580" w:lineRule="exact"/>
        <w:ind w:left="0" w:leftChars="0" w:firstLine="64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5.项目申报</w:t>
      </w:r>
    </w:p>
    <w:p>
      <w:pPr>
        <w:pStyle w:val="2"/>
        <w:widowControl w:val="0"/>
        <w:spacing w:before="0" w:after="0" w:line="580" w:lineRule="exact"/>
        <w:ind w:left="0" w:leftChars="0" w:firstLine="640"/>
        <w:jc w:val="both"/>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各</w:t>
      </w:r>
      <w:r>
        <w:rPr>
          <w:rFonts w:ascii="Times New Roman" w:hAnsi="Times New Roman" w:eastAsia="仿宋_GB2312"/>
          <w:spacing w:val="-6"/>
          <w:sz w:val="32"/>
          <w:szCs w:val="32"/>
          <w:lang w:val="en-US" w:eastAsia="zh-CN"/>
        </w:rPr>
        <w:t>地发展改革部门会同人力资源社会保障等相关部门完成可行性研究报告批复、落实地方建设资金和项目用地、具备按时开工条件，即可向自治区发展改革部门申请中央预算内资金支持。</w:t>
      </w:r>
    </w:p>
    <w:p>
      <w:pPr>
        <w:spacing w:line="580" w:lineRule="exact"/>
        <w:ind w:firstLine="640"/>
        <w:rPr>
          <w:szCs w:val="32"/>
        </w:rPr>
      </w:pPr>
      <w:r>
        <w:rPr>
          <w:szCs w:val="32"/>
        </w:rPr>
        <w:t>6.中央投资支持方式</w:t>
      </w:r>
    </w:p>
    <w:p>
      <w:pPr>
        <w:spacing w:line="580" w:lineRule="exact"/>
        <w:ind w:firstLine="640"/>
        <w:rPr>
          <w:szCs w:val="32"/>
        </w:rPr>
      </w:pPr>
      <w:r>
        <w:rPr>
          <w:szCs w:val="32"/>
        </w:rPr>
        <w:t>中央投资以补助方式对符合条件的公共实训基地项目予以支持，主要用于公共实训基地中实训场所建设和实训设施投入。优先支持各地建设省级大型公共实训基地和地市级综合型公共实训基地，同时，对于国家级贫困县和常住人口超过20万的县（区、市），支持建设县级地方产业特色型公共实训基地。</w:t>
      </w:r>
    </w:p>
    <w:p>
      <w:pPr>
        <w:spacing w:line="580" w:lineRule="exact"/>
        <w:ind w:firstLine="640"/>
        <w:rPr>
          <w:szCs w:val="32"/>
        </w:rPr>
      </w:pPr>
      <w:r>
        <w:rPr>
          <w:szCs w:val="32"/>
        </w:rPr>
        <w:t>7.中央投资支持标准</w:t>
      </w:r>
    </w:p>
    <w:p>
      <w:pPr>
        <w:spacing w:line="580" w:lineRule="exact"/>
        <w:ind w:firstLine="640"/>
        <w:rPr>
          <w:szCs w:val="32"/>
        </w:rPr>
      </w:pPr>
      <w:r>
        <w:rPr>
          <w:szCs w:val="32"/>
        </w:rPr>
        <w:t>中央投资对西部地区的补助比例不超过总投资的80%，对国家级贫困县的补助比例不超过总投资的85%。同时，对每个项目中央补助资金设定上限，其中，省级大型公共实训基地项目的补助上限为9000万元，地市级综合型公共实训基地项目的补助上限为6000万元，县级地方产业特色型公共实训基地项目的补助上限为2000万元。国家另有规定的，执行相关规定。</w:t>
      </w:r>
    </w:p>
    <w:p>
      <w:pPr>
        <w:spacing w:line="580" w:lineRule="exact"/>
        <w:ind w:firstLine="640"/>
        <w:rPr>
          <w:szCs w:val="32"/>
        </w:rPr>
      </w:pPr>
      <w:r>
        <w:rPr>
          <w:szCs w:val="32"/>
        </w:rPr>
        <w:t>8.建设年限</w:t>
      </w:r>
    </w:p>
    <w:p>
      <w:pPr>
        <w:spacing w:line="580" w:lineRule="exact"/>
        <w:ind w:firstLine="640"/>
        <w:rPr>
          <w:szCs w:val="32"/>
        </w:rPr>
      </w:pPr>
      <w:r>
        <w:rPr>
          <w:szCs w:val="32"/>
        </w:rPr>
        <w:t>原则上不超过2年。</w:t>
      </w:r>
    </w:p>
    <w:p>
      <w:pPr>
        <w:pStyle w:val="8"/>
        <w:widowControl w:val="0"/>
        <w:spacing w:line="580" w:lineRule="exact"/>
        <w:ind w:firstLine="640" w:firstLineChars="200"/>
        <w:jc w:val="both"/>
        <w:outlineLvl w:val="1"/>
        <w:rPr>
          <w:rFonts w:ascii="Times New Roman" w:hAnsi="Times New Roman" w:eastAsia="仿宋_GB2312" w:cs="Times New Roman"/>
          <w:sz w:val="32"/>
          <w:szCs w:val="32"/>
        </w:rPr>
      </w:pPr>
      <w:bookmarkStart w:id="706" w:name="_Toc7108"/>
      <w:bookmarkStart w:id="707" w:name="_Toc8424"/>
      <w:r>
        <w:rPr>
          <w:rFonts w:ascii="Times New Roman" w:hAnsi="Times New Roman" w:eastAsia="黑体" w:cs="Times New Roman"/>
          <w:sz w:val="32"/>
          <w:szCs w:val="32"/>
        </w:rPr>
        <w:t>二、医疗卫生领域</w:t>
      </w:r>
      <w:bookmarkEnd w:id="706"/>
      <w:bookmarkEnd w:id="707"/>
    </w:p>
    <w:p>
      <w:pPr>
        <w:pStyle w:val="8"/>
        <w:widowControl w:val="0"/>
        <w:spacing w:line="580" w:lineRule="exact"/>
        <w:ind w:firstLine="640" w:firstLineChars="200"/>
        <w:jc w:val="both"/>
        <w:outlineLvl w:val="2"/>
        <w:rPr>
          <w:rFonts w:ascii="Times New Roman" w:hAnsi="Times New Roman" w:eastAsia="仿宋_GB2312" w:cs="Times New Roman"/>
          <w:sz w:val="32"/>
          <w:szCs w:val="32"/>
        </w:rPr>
      </w:pPr>
      <w:bookmarkStart w:id="708" w:name="_Toc2270"/>
      <w:bookmarkStart w:id="709" w:name="_Toc630"/>
      <w:r>
        <w:rPr>
          <w:rFonts w:ascii="Times New Roman" w:hAnsi="Times New Roman" w:eastAsia="楷体" w:cs="Times New Roman"/>
          <w:sz w:val="32"/>
          <w:szCs w:val="32"/>
        </w:rPr>
        <w:t>（一）县域医疗卫生服务能力提升工程项目</w:t>
      </w:r>
      <w:bookmarkEnd w:id="708"/>
      <w:bookmarkEnd w:id="709"/>
    </w:p>
    <w:p>
      <w:pPr>
        <w:spacing w:line="580" w:lineRule="exact"/>
        <w:ind w:firstLine="640"/>
        <w:rPr>
          <w:szCs w:val="32"/>
        </w:rPr>
      </w:pPr>
      <w:r>
        <w:rPr>
          <w:szCs w:val="32"/>
        </w:rPr>
        <w:t>1.建设目标</w:t>
      </w:r>
    </w:p>
    <w:p>
      <w:pPr>
        <w:spacing w:line="580" w:lineRule="exact"/>
        <w:ind w:firstLine="640"/>
        <w:rPr>
          <w:spacing w:val="4"/>
          <w:szCs w:val="32"/>
        </w:rPr>
      </w:pPr>
      <w:r>
        <w:rPr>
          <w:szCs w:val="32"/>
        </w:rPr>
        <w:t>在中央和自治区各级政府共同努力下，针对我区当前县域医疗卫</w:t>
      </w:r>
      <w:r>
        <w:rPr>
          <w:spacing w:val="4"/>
          <w:szCs w:val="32"/>
        </w:rPr>
        <w:t>生服务体系存在的薄弱环节和短板问题，统筹考虑、突出重点，继续加强县域医疗卫生机构建设，改善基础设施和装备条件，完善服务功能，提高服务能力，实现县域医疗卫生机构基础设施标准化全覆盖，建成覆盖城乡、结构合理的县域医疗卫生服务体系。</w:t>
      </w:r>
    </w:p>
    <w:p>
      <w:pPr>
        <w:spacing w:line="580" w:lineRule="exact"/>
        <w:rPr>
          <w:szCs w:val="32"/>
        </w:rPr>
      </w:pPr>
      <w:r>
        <w:rPr>
          <w:szCs w:val="32"/>
        </w:rPr>
        <w:t xml:space="preserve">   2.建设任务和建设内容</w:t>
      </w:r>
    </w:p>
    <w:p>
      <w:pPr>
        <w:spacing w:line="580" w:lineRule="exact"/>
        <w:rPr>
          <w:szCs w:val="32"/>
        </w:rPr>
      </w:pPr>
      <w:r>
        <w:rPr>
          <w:szCs w:val="32"/>
        </w:rPr>
        <w:t xml:space="preserve">    依据区域医疗卫生服务体系规划和统一的建设标准、规范，本着保障基本、提升能力的原则，重点加强县级医院、乡镇卫生院、村卫生室和社区卫生服务中心建设。</w:t>
      </w:r>
    </w:p>
    <w:p>
      <w:pPr>
        <w:spacing w:line="580" w:lineRule="exact"/>
        <w:ind w:firstLine="640"/>
        <w:rPr>
          <w:szCs w:val="32"/>
        </w:rPr>
      </w:pPr>
      <w:r>
        <w:rPr>
          <w:szCs w:val="32"/>
        </w:rPr>
        <w:t>（1）县级医院建设。重点支持服务人口多，以及医疗资源短缺、经济基础相对薄弱的县级医院建设，改扩建门急诊、医技、住院等业务用房，配备必需且急缺的医疗设备，重点提升儿科、妇产科、中医科、应急救治、重症监护等服务能力，加强肿瘤、心脑血管等重点疾病的专科建设。</w:t>
      </w:r>
    </w:p>
    <w:p>
      <w:pPr>
        <w:spacing w:line="580" w:lineRule="exact"/>
        <w:ind w:firstLine="640"/>
        <w:rPr>
          <w:szCs w:val="32"/>
        </w:rPr>
      </w:pPr>
      <w:r>
        <w:rPr>
          <w:szCs w:val="32"/>
        </w:rPr>
        <w:t>（2）乡镇卫生院。重点支持辅助设施不完善、房屋陈旧、面积不达标的乡镇卫生院建设，完善污水污物处理、配电等辅助设施，改扩建部分业务用房。</w:t>
      </w:r>
    </w:p>
    <w:p>
      <w:pPr>
        <w:spacing w:line="580" w:lineRule="exact"/>
        <w:ind w:firstLine="640"/>
        <w:rPr>
          <w:szCs w:val="32"/>
        </w:rPr>
      </w:pPr>
      <w:r>
        <w:rPr>
          <w:szCs w:val="32"/>
        </w:rPr>
        <w:t>（3）社区卫生服务中心建设。重点支持已纳入区域医疗卫生服务体系规划的22所城市社区卫生服务中心建设，购置、新建、改扩建业务用房，完善功能布局。</w:t>
      </w:r>
    </w:p>
    <w:p>
      <w:pPr>
        <w:spacing w:line="580" w:lineRule="exact"/>
        <w:ind w:firstLine="640"/>
        <w:rPr>
          <w:szCs w:val="32"/>
        </w:rPr>
      </w:pPr>
      <w:r>
        <w:rPr>
          <w:szCs w:val="32"/>
        </w:rPr>
        <w:t>3.建设标准</w:t>
      </w:r>
    </w:p>
    <w:p>
      <w:pPr>
        <w:spacing w:line="580" w:lineRule="exact"/>
        <w:ind w:firstLine="640"/>
        <w:rPr>
          <w:szCs w:val="32"/>
        </w:rPr>
      </w:pPr>
      <w:r>
        <w:rPr>
          <w:szCs w:val="32"/>
        </w:rPr>
        <w:t>按照每个县建好1-2所县级公立医院（含中医医院），依据《综合医院建设标准》、《中医医院建设标准》、医院编制床位数和现有装备条件，支持县级医院改扩建业务用房，购置医疗设备。县级公立医院总床位数原则上按每千人口1.8张左右控制（其中，中医医院按每千人口0.55张左右控制）。</w:t>
      </w:r>
    </w:p>
    <w:p>
      <w:pPr>
        <w:spacing w:line="580" w:lineRule="exact"/>
        <w:ind w:firstLine="640"/>
        <w:rPr>
          <w:szCs w:val="32"/>
        </w:rPr>
      </w:pPr>
      <w:r>
        <w:rPr>
          <w:szCs w:val="32"/>
        </w:rPr>
        <w:t>4.资金来源</w:t>
      </w:r>
    </w:p>
    <w:p>
      <w:pPr>
        <w:spacing w:line="580" w:lineRule="exact"/>
        <w:ind w:firstLine="640"/>
        <w:rPr>
          <w:szCs w:val="32"/>
        </w:rPr>
      </w:pPr>
      <w:r>
        <w:rPr>
          <w:szCs w:val="32"/>
        </w:rPr>
        <w:t>县级医院项目所需建设资金由中央和县级政府共同筹措解决。乡镇卫生院、社区卫生服务中心项目所需建设资金由县级政府筹措解决，自治区视情况给予适当补助。</w:t>
      </w:r>
      <w:bookmarkStart w:id="710" w:name="_Toc8730"/>
    </w:p>
    <w:p>
      <w:pPr>
        <w:spacing w:line="580" w:lineRule="exact"/>
        <w:ind w:firstLine="640"/>
        <w:outlineLvl w:val="2"/>
        <w:rPr>
          <w:rFonts w:eastAsia="楷体"/>
          <w:kern w:val="0"/>
          <w:szCs w:val="32"/>
        </w:rPr>
      </w:pPr>
      <w:bookmarkStart w:id="711" w:name="_Toc26858"/>
      <w:r>
        <w:rPr>
          <w:rFonts w:eastAsia="楷体"/>
          <w:kern w:val="0"/>
          <w:szCs w:val="32"/>
        </w:rPr>
        <w:t>（二）妇幼健康服务体系建设工程项目</w:t>
      </w:r>
      <w:bookmarkEnd w:id="710"/>
      <w:bookmarkEnd w:id="711"/>
    </w:p>
    <w:p>
      <w:pPr>
        <w:spacing w:line="580" w:lineRule="exact"/>
        <w:rPr>
          <w:szCs w:val="32"/>
        </w:rPr>
      </w:pPr>
      <w:r>
        <w:rPr>
          <w:szCs w:val="32"/>
        </w:rPr>
        <w:t xml:space="preserve">    1.建设目标</w:t>
      </w:r>
    </w:p>
    <w:p>
      <w:pPr>
        <w:spacing w:line="580" w:lineRule="exact"/>
        <w:ind w:firstLine="640"/>
        <w:rPr>
          <w:szCs w:val="32"/>
        </w:rPr>
      </w:pPr>
      <w:r>
        <w:rPr>
          <w:szCs w:val="32"/>
        </w:rPr>
        <w:t>以广大妇女儿童公平享有基本医疗卫生保健为出发点，全面改善妇幼健康服务机构的基础设施条件，强化危重孕产妇救治、新生儿救治和产前诊断筛查能力，提升妇幼保健服务水平，鼓励有条件的妇幼保健机构扩展强化产科、儿科、中医科等服务功能，保障自治区、市、县三级都有一所政府举办、功能完善、设施齐全的妇幼保健机构，每千人口儿童床位数达到2.2张。</w:t>
      </w:r>
    </w:p>
    <w:p>
      <w:pPr>
        <w:spacing w:line="580" w:lineRule="exact"/>
        <w:rPr>
          <w:szCs w:val="32"/>
        </w:rPr>
      </w:pPr>
      <w:r>
        <w:rPr>
          <w:szCs w:val="32"/>
        </w:rPr>
        <w:t xml:space="preserve">    2.建设任务和建设内容</w:t>
      </w:r>
    </w:p>
    <w:p>
      <w:pPr>
        <w:spacing w:line="580" w:lineRule="exact"/>
        <w:rPr>
          <w:szCs w:val="32"/>
        </w:rPr>
      </w:pPr>
      <w:r>
        <w:rPr>
          <w:szCs w:val="32"/>
        </w:rPr>
        <w:t xml:space="preserve">    支持业务用房短缺的妇幼健康服务机构建设，重点建设围绕产期保健、新生儿疾病筛查、健康教育等公共卫生功能和产科、儿科、中医科等医疗功能业务用房。</w:t>
      </w:r>
    </w:p>
    <w:p>
      <w:pPr>
        <w:spacing w:line="580" w:lineRule="exact"/>
        <w:rPr>
          <w:szCs w:val="32"/>
        </w:rPr>
      </w:pPr>
      <w:r>
        <w:rPr>
          <w:szCs w:val="32"/>
        </w:rPr>
        <w:t xml:space="preserve">    3.建设标准</w:t>
      </w:r>
    </w:p>
    <w:p>
      <w:pPr>
        <w:spacing w:line="580" w:lineRule="exact"/>
        <w:rPr>
          <w:szCs w:val="32"/>
        </w:rPr>
      </w:pPr>
      <w:r>
        <w:rPr>
          <w:szCs w:val="32"/>
        </w:rPr>
        <w:t xml:space="preserve">    自治区、市、县三级妇幼健康服务机构公共卫生业务用房面积分别按照60平方米/人、65平方米/人、70平方米/人计算。设置编制床位的，医疗业务用房面积按照200床及以下、201-400床、401床及以上，每张床分别按照88平方米、85平方米、82平方米的标准另行增加建设面积。</w:t>
      </w:r>
    </w:p>
    <w:p>
      <w:pPr>
        <w:spacing w:line="580" w:lineRule="exact"/>
        <w:rPr>
          <w:szCs w:val="32"/>
        </w:rPr>
      </w:pPr>
      <w:r>
        <w:rPr>
          <w:szCs w:val="32"/>
        </w:rPr>
        <w:t xml:space="preserve">    4.资金来源</w:t>
      </w:r>
    </w:p>
    <w:p>
      <w:pPr>
        <w:spacing w:line="580" w:lineRule="exact"/>
        <w:ind w:firstLine="640"/>
        <w:rPr>
          <w:szCs w:val="32"/>
        </w:rPr>
      </w:pPr>
      <w:r>
        <w:rPr>
          <w:szCs w:val="32"/>
        </w:rPr>
        <w:t>项目所需建设资金由中央和本级地方政府共同筹措解决。</w:t>
      </w:r>
    </w:p>
    <w:p>
      <w:pPr>
        <w:spacing w:line="580" w:lineRule="exact"/>
        <w:outlineLvl w:val="2"/>
        <w:rPr>
          <w:szCs w:val="32"/>
        </w:rPr>
      </w:pPr>
      <w:r>
        <w:rPr>
          <w:szCs w:val="32"/>
        </w:rPr>
        <w:t xml:space="preserve">  </w:t>
      </w:r>
      <w:bookmarkStart w:id="712" w:name="_Toc5690"/>
      <w:bookmarkStart w:id="713" w:name="_Toc15144"/>
      <w:r>
        <w:rPr>
          <w:rFonts w:eastAsia="楷体"/>
          <w:kern w:val="0"/>
          <w:szCs w:val="32"/>
        </w:rPr>
        <w:t>（三）公共卫生服务体系建设工程项目</w:t>
      </w:r>
      <w:bookmarkEnd w:id="712"/>
      <w:bookmarkEnd w:id="713"/>
    </w:p>
    <w:p>
      <w:pPr>
        <w:spacing w:line="580" w:lineRule="exact"/>
        <w:rPr>
          <w:szCs w:val="32"/>
        </w:rPr>
      </w:pPr>
      <w:r>
        <w:rPr>
          <w:szCs w:val="32"/>
        </w:rPr>
        <w:t xml:space="preserve">    1.建设目标</w:t>
      </w:r>
    </w:p>
    <w:p>
      <w:pPr>
        <w:spacing w:line="580" w:lineRule="exact"/>
        <w:rPr>
          <w:szCs w:val="32"/>
        </w:rPr>
      </w:pPr>
      <w:r>
        <w:rPr>
          <w:szCs w:val="32"/>
        </w:rPr>
        <w:t xml:space="preserve">    坚持预防为主、关口前移，加强疾病预防控制机构基础设施建设。完成自治区疾病预防控制中心迁建项目，加强综合医院传染病、精神病诊疗能力、传染病和职业病等防治机构以及县级疾病预防控制中心建设，全面提升重大传染疾病防控能力。完善血站服务体系，保障血液供应安全。</w:t>
      </w:r>
    </w:p>
    <w:p>
      <w:pPr>
        <w:spacing w:line="580" w:lineRule="exact"/>
        <w:rPr>
          <w:szCs w:val="32"/>
        </w:rPr>
      </w:pPr>
      <w:r>
        <w:rPr>
          <w:szCs w:val="32"/>
        </w:rPr>
        <w:t xml:space="preserve">    2.建设任务和建设内容</w:t>
      </w:r>
    </w:p>
    <w:p>
      <w:pPr>
        <w:spacing w:line="580" w:lineRule="exact"/>
        <w:rPr>
          <w:szCs w:val="32"/>
        </w:rPr>
      </w:pPr>
      <w:r>
        <w:rPr>
          <w:szCs w:val="32"/>
        </w:rPr>
        <w:t xml:space="preserve">    依据统一的建设标准和规范，填平补齐，改扩建业务用房，配置必要设备，全面提高服务能力。一是续建自治区疾病预防控制中心，改善县级疾病预防中心基础设施条件，重点加强实验室建设，加快提升重大疫情防控和各类传染病防治能力。二是加强自治区级职业病、地方病、结核病等防治机构建设。三是支持自治区、市级血站改扩建业务用房、购置医学装备和采血车辆，加强血液筛查实验室建设。</w:t>
      </w:r>
    </w:p>
    <w:p>
      <w:pPr>
        <w:spacing w:line="580" w:lineRule="exact"/>
        <w:rPr>
          <w:szCs w:val="32"/>
        </w:rPr>
      </w:pPr>
      <w:r>
        <w:rPr>
          <w:szCs w:val="32"/>
        </w:rPr>
        <w:t xml:space="preserve">    3.建设标准</w:t>
      </w:r>
    </w:p>
    <w:p>
      <w:pPr>
        <w:spacing w:line="580" w:lineRule="exact"/>
        <w:ind w:firstLine="640"/>
        <w:rPr>
          <w:szCs w:val="32"/>
        </w:rPr>
      </w:pPr>
      <w:r>
        <w:rPr>
          <w:szCs w:val="32"/>
        </w:rPr>
        <w:t>一是疾病预防控制中心按照《疾病预防控制中心建设标准》确定建设规模。二是独立建制无床位的自治区级职业病、地方病、结核病等公共卫生机构参照《疾病预防控制中心建设标准》执行。有床位的参照《综合医院建设标准》确定项目建设规模。三是血站项目参照国家相关标准执行。</w:t>
      </w:r>
    </w:p>
    <w:p>
      <w:pPr>
        <w:spacing w:line="580" w:lineRule="exact"/>
        <w:rPr>
          <w:szCs w:val="32"/>
        </w:rPr>
      </w:pPr>
      <w:r>
        <w:rPr>
          <w:szCs w:val="32"/>
        </w:rPr>
        <w:t xml:space="preserve">    4.资金来源</w:t>
      </w:r>
    </w:p>
    <w:p>
      <w:pPr>
        <w:spacing w:line="580" w:lineRule="exact"/>
        <w:rPr>
          <w:szCs w:val="32"/>
        </w:rPr>
      </w:pPr>
      <w:r>
        <w:rPr>
          <w:szCs w:val="32"/>
        </w:rPr>
        <w:t xml:space="preserve">    项目所需建设资金由中央和本级地方政府共同筹措解决。</w:t>
      </w:r>
    </w:p>
    <w:p>
      <w:pPr>
        <w:spacing w:line="580" w:lineRule="exact"/>
        <w:outlineLvl w:val="2"/>
        <w:rPr>
          <w:szCs w:val="32"/>
        </w:rPr>
      </w:pPr>
      <w:bookmarkStart w:id="714" w:name="_Toc5648"/>
      <w:r>
        <w:rPr>
          <w:szCs w:val="32"/>
        </w:rPr>
        <w:t xml:space="preserve">   </w:t>
      </w:r>
      <w:r>
        <w:rPr>
          <w:rFonts w:eastAsia="楷体"/>
          <w:b/>
          <w:bCs/>
          <w:kern w:val="0"/>
          <w:szCs w:val="32"/>
        </w:rPr>
        <w:t xml:space="preserve"> </w:t>
      </w:r>
      <w:bookmarkStart w:id="715" w:name="_Toc32466"/>
      <w:r>
        <w:rPr>
          <w:rFonts w:eastAsia="楷体"/>
          <w:kern w:val="0"/>
          <w:szCs w:val="32"/>
        </w:rPr>
        <w:t>（四）优质医疗资源均衡发展工程项目</w:t>
      </w:r>
      <w:bookmarkEnd w:id="714"/>
      <w:bookmarkEnd w:id="715"/>
    </w:p>
    <w:p>
      <w:pPr>
        <w:spacing w:line="580" w:lineRule="exact"/>
        <w:rPr>
          <w:szCs w:val="32"/>
        </w:rPr>
      </w:pPr>
      <w:r>
        <w:rPr>
          <w:szCs w:val="32"/>
        </w:rPr>
        <w:t xml:space="preserve">    1.建设目标</w:t>
      </w:r>
    </w:p>
    <w:p>
      <w:pPr>
        <w:spacing w:line="580" w:lineRule="exact"/>
        <w:rPr>
          <w:szCs w:val="32"/>
        </w:rPr>
      </w:pPr>
      <w:r>
        <w:rPr>
          <w:szCs w:val="32"/>
        </w:rPr>
        <w:t xml:space="preserve">    针对严重危害人民群众健康的肿瘤、心脑血管、呼吸系统等重点疾病，完善区域内学科建制，扩大优质医疗资源供给，支持优质医疗资源通过组建专科联盟、建设分支机构、远程医疗协作、“互联网+医疗健康”等方式，辐射带动区域内相关专科综合诊治能力和技术水平提升。</w:t>
      </w:r>
    </w:p>
    <w:p>
      <w:pPr>
        <w:spacing w:line="580" w:lineRule="exact"/>
        <w:rPr>
          <w:szCs w:val="32"/>
        </w:rPr>
      </w:pPr>
      <w:r>
        <w:rPr>
          <w:szCs w:val="32"/>
        </w:rPr>
        <w:t xml:space="preserve">    2.建设任务和建设内容</w:t>
      </w:r>
    </w:p>
    <w:p>
      <w:pPr>
        <w:spacing w:line="580" w:lineRule="exact"/>
        <w:rPr>
          <w:szCs w:val="32"/>
        </w:rPr>
      </w:pPr>
      <w:r>
        <w:rPr>
          <w:szCs w:val="32"/>
        </w:rPr>
        <w:t xml:space="preserve">    结合区域内现有医疗资源和医院实际情况，支持三级甲等综合医院改善基础设施条件，提高医院信息化整体水平，购置必要的医学装备，加强院内科研创新平台建设。加快推进“互联网+医疗健康”示范区建设，依托三级甲等综合医院，支持建设“互联网+医疗健康”实体医院。</w:t>
      </w:r>
    </w:p>
    <w:p>
      <w:pPr>
        <w:spacing w:line="580" w:lineRule="exact"/>
        <w:rPr>
          <w:szCs w:val="32"/>
        </w:rPr>
      </w:pPr>
      <w:r>
        <w:rPr>
          <w:szCs w:val="32"/>
        </w:rPr>
        <w:t xml:space="preserve">    3.建设标准</w:t>
      </w:r>
    </w:p>
    <w:p>
      <w:pPr>
        <w:spacing w:line="580" w:lineRule="exact"/>
        <w:rPr>
          <w:szCs w:val="32"/>
        </w:rPr>
      </w:pPr>
      <w:r>
        <w:rPr>
          <w:szCs w:val="32"/>
        </w:rPr>
        <w:t xml:space="preserve">    建设项目从自治区现有三级甲等综合医院中遴选，重点考察临床诊疗、科研水平、人才梯队、信息化条件等方面能力，依据基础设施、信息化、医疗设备配置等有关标准和规范实施建设。</w:t>
      </w:r>
    </w:p>
    <w:p>
      <w:pPr>
        <w:spacing w:line="580" w:lineRule="exact"/>
        <w:rPr>
          <w:szCs w:val="32"/>
        </w:rPr>
      </w:pPr>
      <w:r>
        <w:rPr>
          <w:szCs w:val="32"/>
        </w:rPr>
        <w:t xml:space="preserve">    4.资金来源</w:t>
      </w:r>
    </w:p>
    <w:p>
      <w:pPr>
        <w:spacing w:line="580" w:lineRule="exact"/>
        <w:rPr>
          <w:szCs w:val="32"/>
        </w:rPr>
      </w:pPr>
      <w:r>
        <w:rPr>
          <w:szCs w:val="32"/>
        </w:rPr>
        <w:t xml:space="preserve">    项目所需建设资金由中央和本级地方政府共同筹措解决。</w:t>
      </w:r>
    </w:p>
    <w:p>
      <w:pPr>
        <w:spacing w:line="580" w:lineRule="exact"/>
        <w:ind w:firstLine="880"/>
        <w:outlineLvl w:val="1"/>
        <w:rPr>
          <w:rFonts w:eastAsia="黑体"/>
          <w:szCs w:val="32"/>
        </w:rPr>
      </w:pPr>
      <w:bookmarkStart w:id="716" w:name="_Toc28379"/>
      <w:bookmarkStart w:id="717" w:name="_Toc25365"/>
      <w:r>
        <w:rPr>
          <w:rFonts w:eastAsia="黑体"/>
          <w:szCs w:val="32"/>
        </w:rPr>
        <w:t>三、文化体育</w:t>
      </w:r>
      <w:bookmarkEnd w:id="716"/>
      <w:bookmarkEnd w:id="717"/>
    </w:p>
    <w:p>
      <w:pPr>
        <w:spacing w:line="580" w:lineRule="exact"/>
        <w:ind w:left="640"/>
        <w:outlineLvl w:val="2"/>
        <w:rPr>
          <w:rFonts w:eastAsia="楷体"/>
          <w:kern w:val="0"/>
          <w:szCs w:val="32"/>
        </w:rPr>
      </w:pPr>
      <w:bookmarkStart w:id="718" w:name="_Toc21699"/>
      <w:bookmarkStart w:id="719" w:name="_Toc19768"/>
      <w:r>
        <w:rPr>
          <w:rFonts w:eastAsia="楷体"/>
          <w:kern w:val="0"/>
          <w:szCs w:val="32"/>
        </w:rPr>
        <w:t>（一）黄河文化保护传承弘扬项目</w:t>
      </w:r>
      <w:bookmarkEnd w:id="718"/>
      <w:bookmarkEnd w:id="719"/>
    </w:p>
    <w:p>
      <w:pPr>
        <w:pStyle w:val="2"/>
        <w:widowControl w:val="0"/>
        <w:spacing w:before="0" w:after="0" w:line="58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1.建设目标</w:t>
      </w:r>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eastAsia="zh-CN"/>
        </w:rPr>
        <w:t>贯彻落实习近平总书记在黄河流域生态保护和高质量发展座谈会上的重要讲话精神，</w:t>
      </w:r>
      <w:r>
        <w:rPr>
          <w:rFonts w:ascii="Times New Roman" w:hAnsi="Times New Roman" w:eastAsia="仿宋_GB2312"/>
          <w:sz w:val="32"/>
          <w:szCs w:val="32"/>
          <w:lang w:val="en-US" w:eastAsia="zh-CN"/>
        </w:rPr>
        <w:t>有针对性地开展黄河文化资源的抢救、保护、传承和弘扬工作，讲好“黄河故事”，推进黄河文化与旅游融合发展。</w:t>
      </w:r>
    </w:p>
    <w:p>
      <w:pPr>
        <w:spacing w:line="580" w:lineRule="exact"/>
        <w:rPr>
          <w:szCs w:val="32"/>
        </w:rPr>
      </w:pPr>
      <w:r>
        <w:rPr>
          <w:szCs w:val="32"/>
        </w:rPr>
        <w:t xml:space="preserve">    2.建设任务和建设内容</w:t>
      </w:r>
    </w:p>
    <w:p>
      <w:pPr>
        <w:spacing w:line="580" w:lineRule="exact"/>
        <w:ind w:firstLine="640"/>
        <w:rPr>
          <w:szCs w:val="32"/>
        </w:rPr>
      </w:pPr>
      <w:r>
        <w:rPr>
          <w:szCs w:val="32"/>
        </w:rPr>
        <w:t>（1）全国重点文物保护单位抢救性保护。主要建设内容包括文物保护管理设施，必要的展示利用设施，保护所需的基础设施等。</w:t>
      </w:r>
    </w:p>
    <w:p>
      <w:pPr>
        <w:spacing w:line="580" w:lineRule="exact"/>
        <w:ind w:firstLine="640"/>
        <w:rPr>
          <w:szCs w:val="32"/>
        </w:rPr>
      </w:pPr>
      <w:r>
        <w:rPr>
          <w:szCs w:val="32"/>
        </w:rPr>
        <w:t>（2）历史文化名城和历史文化街区。主要建设内容包括基础设施建设或改造、环境整治、公有历史建筑的修缮与利用。</w:t>
      </w:r>
    </w:p>
    <w:p>
      <w:pPr>
        <w:spacing w:line="580" w:lineRule="exact"/>
        <w:ind w:firstLine="640" w:firstLineChars="200"/>
        <w:rPr>
          <w:b/>
          <w:bCs/>
          <w:szCs w:val="32"/>
        </w:rPr>
      </w:pPr>
      <w:r>
        <w:rPr>
          <w:szCs w:val="32"/>
        </w:rPr>
        <w:t>（3）国家级非物质文化遗产。主要建设内容传统表演艺术类主要建设内容包括展演剧场、排练厅和相关辅助用房等。</w:t>
      </w:r>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3.建设标准（遴选标准）</w:t>
      </w:r>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kern w:val="0"/>
          <w:sz w:val="32"/>
          <w:szCs w:val="32"/>
          <w:lang w:val="en-US" w:eastAsia="zh-CN"/>
        </w:rPr>
        <w:t>（1）全国重点文物保护单位抢救性保护。</w:t>
      </w:r>
      <w:r>
        <w:rPr>
          <w:rFonts w:ascii="Times New Roman" w:hAnsi="Times New Roman" w:eastAsia="仿宋_GB2312"/>
          <w:sz w:val="32"/>
          <w:szCs w:val="32"/>
          <w:lang w:val="en-US" w:eastAsia="zh-CN"/>
        </w:rPr>
        <w:t>在全国重点文物保护单位等国家级珍贵文化和自然遗产名单中遴选项目。</w:t>
      </w:r>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kern w:val="0"/>
          <w:sz w:val="32"/>
          <w:szCs w:val="32"/>
          <w:lang w:val="en-US" w:eastAsia="zh-CN"/>
        </w:rPr>
        <w:t>（2）历史文化名城和历史文化街区。</w:t>
      </w:r>
      <w:r>
        <w:rPr>
          <w:rFonts w:ascii="Times New Roman" w:hAnsi="Times New Roman" w:eastAsia="仿宋_GB2312"/>
          <w:sz w:val="32"/>
          <w:szCs w:val="32"/>
          <w:lang w:val="en-US" w:eastAsia="zh-CN"/>
        </w:rPr>
        <w:t>在国家历史文化名城等国家级珍贵文化和自然遗产名单中遴选项目。</w:t>
      </w:r>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kern w:val="0"/>
          <w:sz w:val="32"/>
          <w:szCs w:val="32"/>
          <w:lang w:val="en-US" w:eastAsia="zh-CN"/>
        </w:rPr>
        <w:t>（3）国家级非物质文化遗产。</w:t>
      </w:r>
      <w:r>
        <w:rPr>
          <w:rFonts w:ascii="Times New Roman" w:hAnsi="Times New Roman" w:eastAsia="仿宋_GB2312"/>
          <w:sz w:val="32"/>
          <w:szCs w:val="32"/>
          <w:lang w:val="en-US" w:eastAsia="zh-CN"/>
        </w:rPr>
        <w:t>在国家级非物质文化遗产等国家级珍贵文化和自然遗产名单中遴选项目。</w:t>
      </w:r>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以上应遴选具有爱国主义、优秀传统文化、科学普及等教育价值，且近五年来拟实施相关保护利用设施项目的遗产资源。经地方申报、专家评审等程序，列入实施方案项目库。</w:t>
      </w:r>
    </w:p>
    <w:p>
      <w:pPr>
        <w:spacing w:line="580" w:lineRule="exact"/>
        <w:rPr>
          <w:szCs w:val="32"/>
        </w:rPr>
      </w:pPr>
      <w:r>
        <w:rPr>
          <w:szCs w:val="32"/>
        </w:rPr>
        <w:t xml:space="preserve">    4.资金来源</w:t>
      </w:r>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申请中央预算内投资、地方预算内资金。</w:t>
      </w:r>
      <w:bookmarkStart w:id="720" w:name="_Toc9884"/>
    </w:p>
    <w:p>
      <w:pPr>
        <w:spacing w:line="580" w:lineRule="exact"/>
        <w:ind w:left="640"/>
        <w:outlineLvl w:val="2"/>
        <w:rPr>
          <w:rFonts w:eastAsia="楷体"/>
          <w:kern w:val="0"/>
          <w:szCs w:val="32"/>
        </w:rPr>
      </w:pPr>
      <w:bookmarkStart w:id="721" w:name="_Toc7164"/>
      <w:r>
        <w:rPr>
          <w:rFonts w:eastAsia="楷体"/>
          <w:kern w:val="0"/>
          <w:szCs w:val="32"/>
        </w:rPr>
        <w:t>（二）长城、长征国家文化公园建设项目</w:t>
      </w:r>
      <w:bookmarkEnd w:id="720"/>
      <w:bookmarkEnd w:id="721"/>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1.建设目标</w:t>
      </w:r>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通过整合具有突出意义、重要影响、重大主题的文物和文化资源，实现保护传承利用、文化教育、公共服务、旅游观光、休闲娱乐、科学研究功能，推进黄河文化与旅游融合发展。</w:t>
      </w:r>
    </w:p>
    <w:p>
      <w:pPr>
        <w:pStyle w:val="2"/>
        <w:widowControl w:val="0"/>
        <w:spacing w:before="0" w:after="0" w:line="580" w:lineRule="exact"/>
        <w:ind w:left="0" w:leftChars="0" w:firstLine="640" w:firstLineChars="0"/>
        <w:rPr>
          <w:rFonts w:ascii="Times New Roman" w:hAnsi="Times New Roman" w:eastAsia="仿宋_GB2312"/>
          <w:sz w:val="32"/>
          <w:szCs w:val="32"/>
          <w:lang w:eastAsia="zh-CN"/>
        </w:rPr>
      </w:pPr>
      <w:r>
        <w:rPr>
          <w:rFonts w:ascii="Times New Roman" w:hAnsi="Times New Roman" w:eastAsia="仿宋_GB2312"/>
          <w:sz w:val="32"/>
          <w:szCs w:val="32"/>
          <w:lang w:val="en-US" w:eastAsia="zh-CN"/>
        </w:rPr>
        <w:t>2.</w:t>
      </w:r>
      <w:r>
        <w:rPr>
          <w:rFonts w:ascii="Times New Roman" w:hAnsi="Times New Roman" w:eastAsia="仿宋_GB2312"/>
          <w:sz w:val="32"/>
          <w:szCs w:val="32"/>
          <w:lang w:eastAsia="zh-CN"/>
        </w:rPr>
        <w:t>建设任务和建设内容</w:t>
      </w:r>
    </w:p>
    <w:p>
      <w:pPr>
        <w:spacing w:line="580" w:lineRule="exact"/>
        <w:ind w:firstLine="640"/>
        <w:rPr>
          <w:szCs w:val="32"/>
        </w:rPr>
      </w:pPr>
      <w:r>
        <w:rPr>
          <w:szCs w:val="32"/>
        </w:rPr>
        <w:t>（1）实施重大修缮保护项目，对濒危损毁文物进行抢救性保护，对重点文物进行预防性主动性保护。建设内容包括基础设施建设或改造、环境整治等。</w:t>
      </w:r>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2）红色旅游基础设施建设，建设内容包括红色旅游景区到交通干线的连接路，景区内道路、步行道、停车场、厕所、供水供电设施、垃圾污水处理设施、消防设施、安防监控设施、展陈场馆、解说教育系统、游客信息服务设施以及环境整治等。</w:t>
      </w:r>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3.建设标准（遴选标准）</w:t>
      </w:r>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kern w:val="0"/>
          <w:sz w:val="32"/>
          <w:szCs w:val="32"/>
          <w:lang w:val="en-US" w:eastAsia="zh-CN"/>
        </w:rPr>
        <w:t>（1）实施重大修缮保护项目。</w:t>
      </w:r>
      <w:r>
        <w:rPr>
          <w:rFonts w:ascii="Times New Roman" w:hAnsi="Times New Roman" w:eastAsia="仿宋_GB2312"/>
          <w:sz w:val="32"/>
          <w:szCs w:val="32"/>
          <w:lang w:val="en-US" w:eastAsia="zh-CN"/>
        </w:rPr>
        <w:t>根据文物和文化资源的整体布局、禀赋差异及周边人居环境、自然条件、配套设施等情况，结合国土空间规划，在长城遗址、长征文物保护单位和红色旅游线路中遴选具有突出意义的项目。</w:t>
      </w:r>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kern w:val="0"/>
          <w:sz w:val="32"/>
          <w:szCs w:val="32"/>
          <w:lang w:val="en-US" w:eastAsia="zh-CN"/>
        </w:rPr>
        <w:t>（2）红色旅游基础设施建设。</w:t>
      </w:r>
      <w:r>
        <w:rPr>
          <w:rFonts w:ascii="Times New Roman" w:hAnsi="Times New Roman" w:eastAsia="仿宋_GB2312"/>
          <w:sz w:val="32"/>
          <w:szCs w:val="32"/>
          <w:lang w:val="en-US" w:eastAsia="zh-CN"/>
        </w:rPr>
        <w:t>列入全国红色旅游经典景区名录的红色旅游经典景区项目。</w:t>
      </w:r>
    </w:p>
    <w:p>
      <w:pPr>
        <w:spacing w:line="580" w:lineRule="exact"/>
        <w:rPr>
          <w:szCs w:val="32"/>
        </w:rPr>
      </w:pPr>
      <w:r>
        <w:rPr>
          <w:szCs w:val="32"/>
        </w:rPr>
        <w:t xml:space="preserve">    4.资金来源</w:t>
      </w:r>
    </w:p>
    <w:p>
      <w:pPr>
        <w:spacing w:line="580" w:lineRule="exact"/>
        <w:ind w:firstLine="640" w:firstLineChars="200"/>
        <w:rPr>
          <w:b/>
          <w:bCs/>
          <w:szCs w:val="32"/>
        </w:rPr>
      </w:pPr>
      <w:r>
        <w:rPr>
          <w:szCs w:val="32"/>
        </w:rPr>
        <w:t>申请中央预算内投资、地方预算内资金。</w:t>
      </w:r>
    </w:p>
    <w:p>
      <w:pPr>
        <w:spacing w:line="580" w:lineRule="exact"/>
        <w:ind w:left="640"/>
        <w:outlineLvl w:val="2"/>
        <w:rPr>
          <w:rFonts w:eastAsia="楷体"/>
          <w:kern w:val="0"/>
          <w:szCs w:val="32"/>
        </w:rPr>
      </w:pPr>
      <w:bookmarkStart w:id="722" w:name="_Toc21081"/>
      <w:bookmarkStart w:id="723" w:name="_Toc26895"/>
      <w:r>
        <w:rPr>
          <w:rFonts w:eastAsia="楷体"/>
          <w:kern w:val="0"/>
          <w:szCs w:val="32"/>
        </w:rPr>
        <w:t>（三）</w:t>
      </w:r>
      <w:bookmarkStart w:id="724" w:name="_Toc21384"/>
      <w:r>
        <w:rPr>
          <w:rFonts w:eastAsia="楷体"/>
          <w:kern w:val="0"/>
          <w:szCs w:val="32"/>
        </w:rPr>
        <w:t>广播电视</w:t>
      </w:r>
      <w:bookmarkEnd w:id="722"/>
    </w:p>
    <w:p>
      <w:pPr>
        <w:pStyle w:val="2"/>
        <w:widowControl w:val="0"/>
        <w:spacing w:before="0" w:after="0" w:line="580" w:lineRule="exact"/>
        <w:ind w:left="0" w:leftChars="0" w:firstLine="0" w:firstLineChars="0"/>
        <w:outlineLvl w:val="2"/>
        <w:rPr>
          <w:rFonts w:ascii="Times New Roman" w:hAnsi="Times New Roman" w:eastAsia="仿宋_GB2312"/>
          <w:sz w:val="32"/>
          <w:szCs w:val="32"/>
          <w:lang w:val="en-US" w:eastAsia="zh-CN"/>
        </w:rPr>
      </w:pPr>
      <w:r>
        <w:rPr>
          <w:rFonts w:ascii="Times New Roman" w:hAnsi="Times New Roman"/>
          <w:b/>
          <w:bCs/>
          <w:sz w:val="32"/>
          <w:szCs w:val="32"/>
          <w:lang w:val="en-US" w:eastAsia="zh-CN"/>
        </w:rPr>
        <w:t xml:space="preserve">   </w:t>
      </w:r>
      <w:r>
        <w:rPr>
          <w:rFonts w:ascii="Times New Roman" w:hAnsi="Times New Roman" w:eastAsia="仿宋_GB2312"/>
          <w:b/>
          <w:bCs/>
          <w:sz w:val="32"/>
          <w:szCs w:val="32"/>
          <w:lang w:val="en-US" w:eastAsia="zh-CN"/>
        </w:rPr>
        <w:t xml:space="preserve"> </w:t>
      </w:r>
      <w:bookmarkStart w:id="725" w:name="_Toc21755"/>
      <w:r>
        <w:rPr>
          <w:rFonts w:ascii="Times New Roman" w:hAnsi="Times New Roman" w:eastAsia="仿宋_GB2312"/>
          <w:sz w:val="32"/>
          <w:szCs w:val="32"/>
          <w:lang w:val="en-US" w:eastAsia="zh-CN"/>
        </w:rPr>
        <w:t>1.县级广播电视播出机构制播能力建设项目</w:t>
      </w:r>
      <w:bookmarkEnd w:id="724"/>
      <w:bookmarkEnd w:id="725"/>
    </w:p>
    <w:p>
      <w:pPr>
        <w:pStyle w:val="2"/>
        <w:widowControl w:val="0"/>
        <w:spacing w:before="0" w:after="0" w:line="58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（1）建设目标</w:t>
      </w:r>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加强广大农村和少数民族地区新闻出版广播影视基础设施建设，切实解决基层农村地区群众、少数民族群众听到看到、听懂看懂、听好看好新闻出版广播影视节目的问题。</w:t>
      </w:r>
    </w:p>
    <w:p>
      <w:pPr>
        <w:spacing w:line="580" w:lineRule="exact"/>
        <w:rPr>
          <w:szCs w:val="32"/>
        </w:rPr>
      </w:pPr>
      <w:r>
        <w:rPr>
          <w:szCs w:val="32"/>
        </w:rPr>
        <w:t xml:space="preserve">    （2）建设任务和建设内容</w:t>
      </w:r>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为国家级扶贫开发工作重点县和集中连片特殊困难县的广播电视台购置采编播设备，强化制播能力，丰富和完善本地广播电视节目，提升基层文化宣传水平。</w:t>
      </w:r>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（3）建设标准（遴选标准）</w:t>
      </w:r>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需同时符合以下条件，一是国家级扶贫开发工作重点县和集中连片特殊困难县；二是经批准建立的广播电视台等播出机构；三是采编播设备老化，制播能力存在不足。</w:t>
      </w:r>
    </w:p>
    <w:p>
      <w:pPr>
        <w:spacing w:line="580" w:lineRule="exact"/>
        <w:rPr>
          <w:szCs w:val="32"/>
        </w:rPr>
      </w:pPr>
      <w:r>
        <w:rPr>
          <w:szCs w:val="32"/>
        </w:rPr>
        <w:t xml:space="preserve">    （4）资金来源</w:t>
      </w:r>
    </w:p>
    <w:p>
      <w:pPr>
        <w:spacing w:line="580" w:lineRule="exact"/>
        <w:ind w:firstLine="640" w:firstLineChars="200"/>
        <w:rPr>
          <w:b/>
          <w:bCs/>
          <w:szCs w:val="32"/>
        </w:rPr>
      </w:pPr>
      <w:r>
        <w:rPr>
          <w:szCs w:val="32"/>
        </w:rPr>
        <w:t>申请中央预算内投资、地方预算内资金。</w:t>
      </w:r>
    </w:p>
    <w:p>
      <w:pPr>
        <w:pStyle w:val="2"/>
        <w:widowControl w:val="0"/>
        <w:spacing w:before="0" w:after="0" w:line="580" w:lineRule="exact"/>
        <w:ind w:left="0" w:leftChars="0" w:firstLine="0" w:firstLineChars="0"/>
        <w:jc w:val="both"/>
        <w:outlineLvl w:val="2"/>
        <w:rPr>
          <w:rFonts w:ascii="Times New Roman" w:hAnsi="Times New Roman" w:eastAsia="仿宋_GB2312"/>
          <w:sz w:val="32"/>
          <w:szCs w:val="32"/>
          <w:lang w:val="en-US" w:eastAsia="zh-CN"/>
        </w:rPr>
      </w:pPr>
      <w:bookmarkStart w:id="726" w:name="_Toc14087"/>
      <w:r>
        <w:rPr>
          <w:rFonts w:ascii="Times New Roman" w:hAnsi="Times New Roman" w:eastAsia="仿宋_GB2312"/>
          <w:sz w:val="32"/>
          <w:szCs w:val="32"/>
          <w:lang w:val="en-US" w:eastAsia="zh-CN"/>
        </w:rPr>
        <w:t xml:space="preserve">    </w:t>
      </w:r>
      <w:bookmarkStart w:id="727" w:name="_Toc12051"/>
      <w:r>
        <w:rPr>
          <w:rFonts w:ascii="Times New Roman" w:hAnsi="Times New Roman" w:eastAsia="仿宋_GB2312"/>
          <w:sz w:val="32"/>
          <w:szCs w:val="32"/>
          <w:lang w:val="en-US" w:eastAsia="zh-CN"/>
        </w:rPr>
        <w:t>2.广播电视无线发射台站基础设施二期建设项目</w:t>
      </w:r>
      <w:bookmarkEnd w:id="726"/>
      <w:bookmarkEnd w:id="727"/>
    </w:p>
    <w:p>
      <w:pPr>
        <w:pStyle w:val="2"/>
        <w:widowControl w:val="0"/>
        <w:spacing w:before="0" w:after="0" w:line="58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（1）建设目标</w:t>
      </w:r>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加强广大农村和少数民族地区新闻出版广播影视基础设施建设，切实解决基层农村地区群众、少数民族群众听到看到、听懂看懂、听好看好新闻出版广播影视节目的问题。</w:t>
      </w:r>
    </w:p>
    <w:p>
      <w:pPr>
        <w:spacing w:line="580" w:lineRule="exact"/>
        <w:ind w:firstLine="640"/>
        <w:rPr>
          <w:szCs w:val="32"/>
        </w:rPr>
      </w:pPr>
      <w:r>
        <w:rPr>
          <w:szCs w:val="32"/>
        </w:rPr>
        <w:t>（2）建设任务和建设内容</w:t>
      </w:r>
    </w:p>
    <w:p>
      <w:pPr>
        <w:spacing w:line="580" w:lineRule="exact"/>
        <w:ind w:firstLine="640"/>
        <w:rPr>
          <w:szCs w:val="32"/>
        </w:rPr>
      </w:pPr>
      <w:r>
        <w:rPr>
          <w:szCs w:val="32"/>
        </w:rPr>
        <w:t>配合全国地面数字电视覆盖升级，支持承担转播中央广播电视节目任务、直接覆盖农村地区的广播电视无线发射台完善基础设施，确保中央节目正常播出，覆盖到农村地区千家万户。</w:t>
      </w:r>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（3）建设标准（遴选标准）</w:t>
      </w:r>
    </w:p>
    <w:p>
      <w:pPr>
        <w:pStyle w:val="2"/>
        <w:widowControl w:val="0"/>
        <w:spacing w:before="0" w:after="0" w:line="58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需</w:t>
      </w:r>
      <w:r>
        <w:rPr>
          <w:rFonts w:ascii="Times New Roman" w:hAnsi="Times New Roman" w:eastAsia="仿宋_GB2312"/>
          <w:spacing w:val="-6"/>
          <w:sz w:val="32"/>
          <w:szCs w:val="32"/>
          <w:lang w:val="en-US" w:eastAsia="zh-CN"/>
        </w:rPr>
        <w:t>同时符合以下条件，一是享受中西部待遇地区的县级（含）以上电视、调频和中波发射台站；二是承担中央广播电视节目转播任务，直接服务农村地区；三是台站机房、道路、给排水、围墙等基础设施存在不足；四是“十三五”未安排中央投资进行支持。</w:t>
      </w:r>
    </w:p>
    <w:p>
      <w:pPr>
        <w:spacing w:line="580" w:lineRule="exact"/>
        <w:rPr>
          <w:szCs w:val="32"/>
        </w:rPr>
      </w:pPr>
      <w:r>
        <w:rPr>
          <w:szCs w:val="32"/>
        </w:rPr>
        <w:t xml:space="preserve">    （4）资金来源</w:t>
      </w:r>
    </w:p>
    <w:p>
      <w:pPr>
        <w:spacing w:line="580" w:lineRule="exact"/>
        <w:ind w:firstLine="640" w:firstLineChars="200"/>
        <w:rPr>
          <w:szCs w:val="32"/>
        </w:rPr>
      </w:pPr>
      <w:r>
        <w:rPr>
          <w:szCs w:val="32"/>
        </w:rPr>
        <w:t>申请中央预算内投资、地方预算内资金。</w:t>
      </w:r>
    </w:p>
    <w:p>
      <w:pPr>
        <w:spacing w:line="580" w:lineRule="exact"/>
        <w:ind w:firstLine="640"/>
        <w:outlineLvl w:val="2"/>
        <w:rPr>
          <w:rFonts w:eastAsia="楷体"/>
          <w:kern w:val="0"/>
          <w:szCs w:val="32"/>
        </w:rPr>
      </w:pPr>
      <w:bookmarkStart w:id="728" w:name="_Toc32053"/>
      <w:r>
        <w:rPr>
          <w:rFonts w:eastAsia="楷体"/>
          <w:kern w:val="0"/>
          <w:szCs w:val="32"/>
        </w:rPr>
        <w:t>（四）全民健身提升工程项目</w:t>
      </w:r>
      <w:bookmarkEnd w:id="723"/>
      <w:bookmarkEnd w:id="728"/>
    </w:p>
    <w:p>
      <w:pPr>
        <w:spacing w:line="580" w:lineRule="exact"/>
        <w:rPr>
          <w:szCs w:val="32"/>
        </w:rPr>
      </w:pPr>
      <w:r>
        <w:rPr>
          <w:szCs w:val="32"/>
        </w:rPr>
        <w:t xml:space="preserve">    1.建设目标</w:t>
      </w:r>
    </w:p>
    <w:p>
      <w:pPr>
        <w:spacing w:line="580" w:lineRule="exact"/>
        <w:ind w:firstLine="640"/>
        <w:rPr>
          <w:szCs w:val="32"/>
        </w:rPr>
      </w:pPr>
      <w:r>
        <w:rPr>
          <w:szCs w:val="32"/>
        </w:rPr>
        <w:t>不断努力提高公共体育服务保障水平，着力在均衡服务、融合发展、补齐短板上取得突破。</w:t>
      </w:r>
      <w:r>
        <w:rPr>
          <w:color w:val="000000"/>
          <w:szCs w:val="32"/>
          <w:shd w:val="clear" w:color="auto" w:fill="FFFFFF"/>
        </w:rPr>
        <w:t>构建县（市、区）、乡镇（街道）、行政村（社区）三级群众身边的全民健身设施网络，</w:t>
      </w:r>
      <w:r>
        <w:rPr>
          <w:szCs w:val="32"/>
        </w:rPr>
        <w:t>打造百姓身边的“15分钟健身圈”。</w:t>
      </w:r>
      <w:r>
        <w:rPr>
          <w:color w:val="000000"/>
          <w:szCs w:val="32"/>
          <w:shd w:val="clear" w:color="auto" w:fill="FFFFFF"/>
        </w:rPr>
        <w:t>充分发挥全民健身对发展体育产业的推动作用，扩大与全民健身相关的体育健身休闲活动、体育竞赛表演活动、体育场馆服务、体育培训与教育、体育用品及相关产品制造和销售等体育产业规模。</w:t>
      </w:r>
    </w:p>
    <w:p>
      <w:pPr>
        <w:spacing w:line="580" w:lineRule="exact"/>
        <w:rPr>
          <w:szCs w:val="32"/>
        </w:rPr>
      </w:pPr>
      <w:r>
        <w:rPr>
          <w:szCs w:val="32"/>
        </w:rPr>
        <w:t xml:space="preserve">     2.建设任务和建设内容</w:t>
      </w:r>
    </w:p>
    <w:p>
      <w:pPr>
        <w:spacing w:line="580" w:lineRule="exact"/>
        <w:rPr>
          <w:szCs w:val="32"/>
        </w:rPr>
      </w:pPr>
      <w:r>
        <w:rPr>
          <w:szCs w:val="32"/>
        </w:rPr>
        <w:t xml:space="preserve">    支持全民健身和体育产业基础设施建设。新建改扩建一批县级体育场、全民健身中心、足球场地设施，继续实施农民体育健身工程；支持体育健身公园、社区（乡镇）多功能运动场、全民健身步道建设。充分利用体育中心、公园绿地、闲置厂房、校舍操场、社区空置场所等，拓展公共体育设施场所。</w:t>
      </w:r>
    </w:p>
    <w:p>
      <w:pPr>
        <w:spacing w:line="580" w:lineRule="exact"/>
        <w:rPr>
          <w:szCs w:val="32"/>
        </w:rPr>
      </w:pPr>
      <w:r>
        <w:rPr>
          <w:szCs w:val="32"/>
        </w:rPr>
        <w:t xml:space="preserve">    </w:t>
      </w:r>
      <w:r>
        <w:rPr>
          <w:color w:val="000000"/>
          <w:kern w:val="0"/>
          <w:szCs w:val="32"/>
        </w:rPr>
        <w:t>（1）县级体育场</w:t>
      </w:r>
      <w:r>
        <w:rPr>
          <w:szCs w:val="32"/>
        </w:rPr>
        <w:t>。重点支持人均体育场地面积较小的县（市、区）建设县级公共体育场标准田径跑道和足球场。</w:t>
      </w:r>
    </w:p>
    <w:p>
      <w:pPr>
        <w:spacing w:line="580" w:lineRule="exact"/>
        <w:ind w:firstLine="640" w:firstLineChars="200"/>
        <w:rPr>
          <w:szCs w:val="32"/>
        </w:rPr>
      </w:pPr>
      <w:r>
        <w:rPr>
          <w:color w:val="000000"/>
          <w:kern w:val="0"/>
          <w:szCs w:val="32"/>
        </w:rPr>
        <w:t>（2）全民健身中心</w:t>
      </w:r>
      <w:r>
        <w:rPr>
          <w:szCs w:val="32"/>
        </w:rPr>
        <w:t>。支持能够开展球类、武术、体操、游泳等单项或多项体育健身活动，且不设固定看台的中小型全民健身中心建设。</w:t>
      </w:r>
    </w:p>
    <w:p>
      <w:pPr>
        <w:spacing w:line="580" w:lineRule="exact"/>
        <w:ind w:firstLine="640" w:firstLineChars="200"/>
        <w:rPr>
          <w:szCs w:val="32"/>
        </w:rPr>
      </w:pPr>
      <w:r>
        <w:rPr>
          <w:color w:val="000000"/>
          <w:kern w:val="0"/>
          <w:szCs w:val="32"/>
        </w:rPr>
        <w:t>（3）足球场地设施。</w:t>
      </w:r>
      <w:r>
        <w:rPr>
          <w:szCs w:val="32"/>
        </w:rPr>
        <w:t>优先考虑在距离居住人群较近、覆盖人口较多、足球场地设施需求大的位置布局，充分利用闲置厂房、滩涂荒地、城市绿地、社区空地等资源，创新方式建设足球场地。</w:t>
      </w:r>
    </w:p>
    <w:p>
      <w:pPr>
        <w:spacing w:line="580" w:lineRule="exact"/>
        <w:ind w:firstLine="640" w:firstLineChars="200"/>
        <w:rPr>
          <w:szCs w:val="32"/>
        </w:rPr>
      </w:pPr>
      <w:r>
        <w:rPr>
          <w:color w:val="000000"/>
          <w:kern w:val="0"/>
          <w:szCs w:val="32"/>
        </w:rPr>
        <w:t>（4）农民体育健身工程</w:t>
      </w:r>
      <w:r>
        <w:rPr>
          <w:szCs w:val="32"/>
        </w:rPr>
        <w:t>。支持包括灯光篮球场、乒乓球场等室外建身场地建设，及配备室内健身器材。</w:t>
      </w:r>
    </w:p>
    <w:p>
      <w:pPr>
        <w:spacing w:line="580" w:lineRule="exact"/>
        <w:ind w:firstLine="640" w:firstLineChars="200"/>
        <w:rPr>
          <w:szCs w:val="32"/>
        </w:rPr>
      </w:pPr>
      <w:r>
        <w:rPr>
          <w:color w:val="000000"/>
          <w:kern w:val="0"/>
          <w:szCs w:val="32"/>
        </w:rPr>
        <w:t>（5）健身公园。</w:t>
      </w:r>
      <w:r>
        <w:rPr>
          <w:szCs w:val="32"/>
        </w:rPr>
        <w:t>支持包括健身步道、足球场、篮球场等室外健身场地建设，开展慢跑、自行车等项目，鼓励发展冰雪运动项目。</w:t>
      </w:r>
    </w:p>
    <w:p>
      <w:pPr>
        <w:spacing w:line="580" w:lineRule="exact"/>
        <w:ind w:firstLine="640" w:firstLineChars="200"/>
        <w:rPr>
          <w:szCs w:val="32"/>
        </w:rPr>
      </w:pPr>
      <w:r>
        <w:rPr>
          <w:color w:val="000000"/>
          <w:kern w:val="0"/>
          <w:szCs w:val="32"/>
        </w:rPr>
        <w:t>（6）社区（乡镇）多功能运动场建设</w:t>
      </w:r>
      <w:r>
        <w:rPr>
          <w:szCs w:val="32"/>
        </w:rPr>
        <w:t>。支持包括多功能健身场地、灯光球场、拼装式游泳池、健身步道等建设，及配备室内外健身器材。</w:t>
      </w:r>
    </w:p>
    <w:p>
      <w:pPr>
        <w:spacing w:line="580" w:lineRule="exact"/>
        <w:ind w:firstLine="640" w:firstLineChars="200"/>
        <w:rPr>
          <w:szCs w:val="32"/>
        </w:rPr>
      </w:pPr>
      <w:r>
        <w:rPr>
          <w:color w:val="000000"/>
          <w:kern w:val="0"/>
          <w:szCs w:val="32"/>
        </w:rPr>
        <w:t>（7）全民健身步道。</w:t>
      </w:r>
      <w:r>
        <w:rPr>
          <w:szCs w:val="32"/>
        </w:rPr>
        <w:t>支持登山道、健走道、骑行道等建设，主要开展山地运动、快走、慢跑等项目。在建设过程中应根据不同区域、地形、地貌、使用功能和资源条件，选用不同的设计。</w:t>
      </w:r>
    </w:p>
    <w:p>
      <w:pPr>
        <w:spacing w:line="580" w:lineRule="exact"/>
        <w:ind w:firstLine="640" w:firstLineChars="200"/>
        <w:rPr>
          <w:szCs w:val="32"/>
        </w:rPr>
      </w:pPr>
      <w:r>
        <w:rPr>
          <w:szCs w:val="32"/>
        </w:rPr>
        <w:t>3.建设标准</w:t>
      </w:r>
    </w:p>
    <w:p>
      <w:pPr>
        <w:spacing w:line="580" w:lineRule="exact"/>
        <w:ind w:firstLine="640" w:firstLineChars="200"/>
        <w:rPr>
          <w:color w:val="000000"/>
          <w:szCs w:val="32"/>
          <w:shd w:val="clear" w:color="auto" w:fill="FFFFFF"/>
        </w:rPr>
      </w:pPr>
      <w:r>
        <w:rPr>
          <w:color w:val="000000"/>
          <w:szCs w:val="32"/>
          <w:shd w:val="clear" w:color="auto" w:fill="FFFFFF"/>
        </w:rPr>
        <w:t>按照配置均衡、规模适当、方便实用、安全合理的原则，科学规划和统筹建设全民健身场地设施，参考《公共体育场地建设参考指南》、《县级全民健身中心项目实施办法》（体群字〔2016〕112号）及《体育总局办公厅关于2016年中央集中彩票公益金转移支付地方支持全民健身设施建设有关事宜的通知》（体群字〔2015〕174号）附件要求规划项目建设。</w:t>
      </w:r>
    </w:p>
    <w:p>
      <w:pPr>
        <w:spacing w:line="580" w:lineRule="exact"/>
        <w:rPr>
          <w:szCs w:val="32"/>
        </w:rPr>
      </w:pPr>
      <w:r>
        <w:rPr>
          <w:szCs w:val="32"/>
        </w:rPr>
        <w:t xml:space="preserve">    4.资金来源</w:t>
      </w:r>
    </w:p>
    <w:p>
      <w:pPr>
        <w:spacing w:line="580" w:lineRule="exact"/>
        <w:rPr>
          <w:szCs w:val="32"/>
        </w:rPr>
      </w:pPr>
      <w:r>
        <w:rPr>
          <w:szCs w:val="32"/>
        </w:rPr>
        <w:t xml:space="preserve">    包括中央预算内投资、体育彩票公益金、地方财政性资金、社会投入等。</w:t>
      </w:r>
    </w:p>
    <w:p>
      <w:pPr>
        <w:spacing w:line="580" w:lineRule="exact"/>
        <w:outlineLvl w:val="1"/>
        <w:rPr>
          <w:b/>
          <w:bCs/>
          <w:szCs w:val="32"/>
        </w:rPr>
      </w:pPr>
      <w:bookmarkStart w:id="729" w:name="_Toc29104"/>
      <w:r>
        <w:rPr>
          <w:b/>
          <w:bCs/>
          <w:szCs w:val="32"/>
        </w:rPr>
        <w:t xml:space="preserve">   </w:t>
      </w:r>
      <w:r>
        <w:rPr>
          <w:rFonts w:eastAsia="黑体"/>
          <w:szCs w:val="32"/>
        </w:rPr>
        <w:t xml:space="preserve"> </w:t>
      </w:r>
      <w:bookmarkStart w:id="730" w:name="_Toc20991"/>
      <w:r>
        <w:rPr>
          <w:rFonts w:eastAsia="黑体"/>
          <w:szCs w:val="32"/>
        </w:rPr>
        <w:t>四、社会保障领域</w:t>
      </w:r>
      <w:bookmarkEnd w:id="729"/>
      <w:bookmarkEnd w:id="730"/>
    </w:p>
    <w:p>
      <w:pPr>
        <w:spacing w:line="580" w:lineRule="exact"/>
        <w:ind w:firstLine="640"/>
        <w:outlineLvl w:val="2"/>
        <w:rPr>
          <w:rFonts w:eastAsia="楷体"/>
          <w:kern w:val="0"/>
          <w:szCs w:val="32"/>
        </w:rPr>
      </w:pPr>
      <w:bookmarkStart w:id="731" w:name="_Toc22719"/>
      <w:bookmarkStart w:id="732" w:name="_Toc6120"/>
      <w:r>
        <w:rPr>
          <w:rFonts w:eastAsia="楷体"/>
          <w:kern w:val="0"/>
          <w:szCs w:val="32"/>
        </w:rPr>
        <w:t>（一）基本养老服务体系建设工程项目</w:t>
      </w:r>
      <w:bookmarkEnd w:id="731"/>
    </w:p>
    <w:p>
      <w:pPr>
        <w:spacing w:line="580" w:lineRule="exact"/>
        <w:rPr>
          <w:szCs w:val="32"/>
        </w:rPr>
      </w:pPr>
      <w:r>
        <w:rPr>
          <w:szCs w:val="32"/>
        </w:rPr>
        <w:t xml:space="preserve">    1.建设目标</w:t>
      </w:r>
    </w:p>
    <w:p>
      <w:pPr>
        <w:spacing w:line="580" w:lineRule="exact"/>
        <w:rPr>
          <w:szCs w:val="32"/>
        </w:rPr>
      </w:pPr>
      <w:r>
        <w:rPr>
          <w:szCs w:val="32"/>
        </w:rPr>
        <w:t xml:space="preserve">    养老机构、特困人员供养服务设施（敬老院）和互助设施、光荣院和社区日间照料中心等设施的床位数达到每千名老人35-40张，以居家为基础、社区为依托、机构为补充、医养结合的养老服务体系日趋完善。</w:t>
      </w:r>
    </w:p>
    <w:p>
      <w:pPr>
        <w:spacing w:line="580" w:lineRule="exact"/>
        <w:rPr>
          <w:szCs w:val="32"/>
        </w:rPr>
      </w:pPr>
      <w:r>
        <w:rPr>
          <w:szCs w:val="32"/>
        </w:rPr>
        <w:t xml:space="preserve">    2.建设任务</w:t>
      </w:r>
    </w:p>
    <w:p>
      <w:pPr>
        <w:spacing w:line="580" w:lineRule="exact"/>
        <w:ind w:firstLine="640"/>
        <w:rPr>
          <w:szCs w:val="32"/>
        </w:rPr>
      </w:pPr>
      <w:r>
        <w:rPr>
          <w:szCs w:val="32"/>
        </w:rPr>
        <w:t>支持主要面向失能、半失能老年人的老年养护院建设，支持医养结合的养老设施（综合性养老设施，具备医疗功能，但不包括单独医疗或以医疗为主的卫生设施）建设，支持荣誉军人休养院、光荣院、特困人员供养服务设施（敬老院）建设，支持社区老年人日间照料中心建设，支持养老设施配置基本康复辅助器具（设备包）。</w:t>
      </w:r>
    </w:p>
    <w:p>
      <w:pPr>
        <w:spacing w:line="580" w:lineRule="exact"/>
        <w:ind w:firstLine="640"/>
        <w:rPr>
          <w:szCs w:val="32"/>
        </w:rPr>
      </w:pPr>
      <w:r>
        <w:rPr>
          <w:szCs w:val="32"/>
        </w:rPr>
        <w:t>3.建设标准</w:t>
      </w:r>
    </w:p>
    <w:p>
      <w:pPr>
        <w:spacing w:line="580" w:lineRule="exact"/>
        <w:rPr>
          <w:szCs w:val="32"/>
        </w:rPr>
      </w:pPr>
      <w:r>
        <w:rPr>
          <w:szCs w:val="32"/>
        </w:rPr>
        <w:t xml:space="preserve">    老年养护院、荣誉军人休养院、符合要求的医养结合养老设施建设项目，建设床位控制在500 张以内，床均面积控制在 42.5—50平方米之间，建设规模控制在 21250 平方米之内，床均建设投资按9 万元测算。</w:t>
      </w:r>
    </w:p>
    <w:p>
      <w:pPr>
        <w:spacing w:line="580" w:lineRule="exact"/>
        <w:rPr>
          <w:szCs w:val="32"/>
        </w:rPr>
      </w:pPr>
      <w:r>
        <w:rPr>
          <w:szCs w:val="32"/>
        </w:rPr>
        <w:t xml:space="preserve">   4.资金来源</w:t>
      </w:r>
    </w:p>
    <w:p>
      <w:pPr>
        <w:spacing w:line="580" w:lineRule="exact"/>
        <w:ind w:firstLine="640"/>
        <w:rPr>
          <w:rFonts w:eastAsia="楷体"/>
          <w:b/>
          <w:bCs/>
          <w:szCs w:val="32"/>
        </w:rPr>
      </w:pPr>
      <w:r>
        <w:rPr>
          <w:szCs w:val="32"/>
        </w:rPr>
        <w:t xml:space="preserve">项目所需建设资金由中央和本级地方政府共同筹措解决。 </w:t>
      </w:r>
    </w:p>
    <w:p>
      <w:pPr>
        <w:spacing w:line="580" w:lineRule="exact"/>
        <w:ind w:firstLine="640"/>
        <w:outlineLvl w:val="2"/>
        <w:rPr>
          <w:rFonts w:eastAsia="楷体"/>
          <w:kern w:val="0"/>
          <w:szCs w:val="32"/>
        </w:rPr>
      </w:pPr>
      <w:bookmarkStart w:id="733" w:name="_Toc11544"/>
      <w:r>
        <w:rPr>
          <w:rFonts w:eastAsia="楷体"/>
          <w:kern w:val="0"/>
          <w:szCs w:val="32"/>
        </w:rPr>
        <w:t>（二）社会福利服务体系项目</w:t>
      </w:r>
      <w:bookmarkEnd w:id="732"/>
      <w:bookmarkEnd w:id="733"/>
    </w:p>
    <w:p>
      <w:pPr>
        <w:spacing w:line="580" w:lineRule="exact"/>
        <w:ind w:firstLine="640" w:firstLineChars="200"/>
        <w:rPr>
          <w:szCs w:val="32"/>
        </w:rPr>
      </w:pPr>
      <w:r>
        <w:rPr>
          <w:szCs w:val="32"/>
        </w:rPr>
        <w:t xml:space="preserve"> 1.建设目标</w:t>
      </w:r>
    </w:p>
    <w:p>
      <w:pPr>
        <w:spacing w:line="580" w:lineRule="exact"/>
        <w:rPr>
          <w:szCs w:val="32"/>
        </w:rPr>
      </w:pPr>
      <w:r>
        <w:rPr>
          <w:szCs w:val="32"/>
        </w:rPr>
        <w:t xml:space="preserve">    立足兜底线、补短板、调结构，针对困境儿童无人抚养、留守儿童缺乏关爱、精神卫生防治工作困难等社会热点问题，继续加强我区儿童福利设施、救助设施、精神卫生福利设施建设，满足人民群众对精细化、专业化社会服务的需求。</w:t>
      </w:r>
    </w:p>
    <w:p>
      <w:pPr>
        <w:spacing w:line="580" w:lineRule="exact"/>
        <w:rPr>
          <w:szCs w:val="32"/>
        </w:rPr>
      </w:pPr>
      <w:r>
        <w:rPr>
          <w:szCs w:val="32"/>
        </w:rPr>
        <w:t xml:space="preserve">    2.建设任务和建设内容</w:t>
      </w:r>
    </w:p>
    <w:p>
      <w:pPr>
        <w:spacing w:line="580" w:lineRule="exact"/>
        <w:rPr>
          <w:szCs w:val="32"/>
        </w:rPr>
      </w:pPr>
      <w:r>
        <w:rPr>
          <w:szCs w:val="32"/>
        </w:rPr>
        <w:t xml:space="preserve">    重点支持儿童福利、未成年人保护、精神卫生等社会福利服务设施建设，逐步形成我区功能完备、布局合理、服务便捷、保障有力的社会福利服务体系。</w:t>
      </w:r>
    </w:p>
    <w:p>
      <w:pPr>
        <w:spacing w:line="580" w:lineRule="exact"/>
        <w:ind w:firstLine="640" w:firstLineChars="200"/>
        <w:rPr>
          <w:szCs w:val="32"/>
        </w:rPr>
      </w:pPr>
      <w:r>
        <w:rPr>
          <w:szCs w:val="32"/>
        </w:rPr>
        <w:t>（1）支持人口50万以上或孤儿200个以上的县（市、区）建设儿童福利设施，推动形成功能完备、服务规范的儿童福利服务设施网络。</w:t>
      </w:r>
    </w:p>
    <w:p>
      <w:pPr>
        <w:spacing w:line="580" w:lineRule="exact"/>
        <w:ind w:firstLine="640" w:firstLineChars="200"/>
        <w:rPr>
          <w:szCs w:val="32"/>
        </w:rPr>
      </w:pPr>
      <w:r>
        <w:rPr>
          <w:szCs w:val="32"/>
        </w:rPr>
        <w:t>（2）支持在条件适宜的县（市、区）依托现有社会福利设施资源建设县级未成年人保护设施，为困境儿童、农村留守儿童等提供临时监护照料和家庭服务。</w:t>
      </w:r>
    </w:p>
    <w:p>
      <w:pPr>
        <w:spacing w:line="580" w:lineRule="exact"/>
        <w:ind w:firstLine="640" w:firstLineChars="200"/>
        <w:rPr>
          <w:szCs w:val="32"/>
        </w:rPr>
      </w:pPr>
      <w:r>
        <w:rPr>
          <w:szCs w:val="32"/>
        </w:rPr>
        <w:t>（3）支持精神卫生服务能力不足且尚无精神卫生福利设施的地市建设1所精神卫生福利设施，为精神障碍患者提供集中养护服务。</w:t>
      </w:r>
    </w:p>
    <w:p>
      <w:pPr>
        <w:spacing w:line="580" w:lineRule="exact"/>
        <w:ind w:firstLine="640" w:firstLineChars="200"/>
        <w:rPr>
          <w:szCs w:val="32"/>
        </w:rPr>
      </w:pPr>
      <w:r>
        <w:rPr>
          <w:szCs w:val="32"/>
        </w:rPr>
        <w:t>3.建设标准</w:t>
      </w:r>
    </w:p>
    <w:p>
      <w:pPr>
        <w:spacing w:line="580" w:lineRule="exact"/>
        <w:ind w:firstLine="640" w:firstLineChars="200"/>
        <w:rPr>
          <w:szCs w:val="32"/>
        </w:rPr>
      </w:pPr>
      <w:r>
        <w:rPr>
          <w:szCs w:val="32"/>
        </w:rPr>
        <w:t>依照《儿童福利院建设标准》、《流浪未成年人救助保护中心建设标准》、《精神卫生社会福利机构基本规范》等标准规范和遴选条件要求，合理确定项目建设内容和建设规模，避免铺张浪费。</w:t>
      </w:r>
    </w:p>
    <w:p>
      <w:pPr>
        <w:spacing w:line="580" w:lineRule="exact"/>
        <w:ind w:firstLine="640" w:firstLineChars="200"/>
        <w:rPr>
          <w:szCs w:val="32"/>
        </w:rPr>
      </w:pPr>
      <w:r>
        <w:rPr>
          <w:szCs w:val="32"/>
        </w:rPr>
        <w:t>4.资金来源</w:t>
      </w:r>
    </w:p>
    <w:p>
      <w:pPr>
        <w:spacing w:line="580" w:lineRule="exact"/>
        <w:ind w:firstLine="640"/>
        <w:rPr>
          <w:szCs w:val="32"/>
        </w:rPr>
      </w:pPr>
      <w:r>
        <w:rPr>
          <w:szCs w:val="32"/>
        </w:rPr>
        <w:t>包括中央预算内投资、地方财政投入、社会投资等。</w:t>
      </w:r>
    </w:p>
    <w:p>
      <w:pPr>
        <w:spacing w:line="580" w:lineRule="exact"/>
        <w:ind w:firstLine="640"/>
        <w:outlineLvl w:val="2"/>
        <w:rPr>
          <w:rFonts w:eastAsia="楷体"/>
          <w:kern w:val="0"/>
          <w:szCs w:val="32"/>
        </w:rPr>
      </w:pPr>
      <w:bookmarkStart w:id="734" w:name="_Toc20084"/>
      <w:bookmarkStart w:id="735" w:name="_Toc32716"/>
      <w:r>
        <w:rPr>
          <w:rFonts w:eastAsia="楷体"/>
          <w:kern w:val="0"/>
          <w:szCs w:val="32"/>
        </w:rPr>
        <w:t>（三）残疾人服务体系项目</w:t>
      </w:r>
      <w:bookmarkEnd w:id="734"/>
      <w:bookmarkEnd w:id="735"/>
    </w:p>
    <w:p>
      <w:pPr>
        <w:spacing w:line="580" w:lineRule="exact"/>
        <w:rPr>
          <w:szCs w:val="32"/>
        </w:rPr>
      </w:pPr>
      <w:r>
        <w:rPr>
          <w:szCs w:val="32"/>
        </w:rPr>
        <w:t xml:space="preserve">    1.建设目标</w:t>
      </w:r>
    </w:p>
    <w:p>
      <w:pPr>
        <w:spacing w:line="580" w:lineRule="exact"/>
        <w:rPr>
          <w:szCs w:val="32"/>
        </w:rPr>
      </w:pPr>
      <w:r>
        <w:rPr>
          <w:szCs w:val="32"/>
        </w:rPr>
        <w:t xml:space="preserve">    在进一步健全残疾人民生保障体系、稳步提升保障水平的基础上</w:t>
      </w:r>
      <w:r>
        <w:rPr>
          <w:spacing w:val="-8"/>
          <w:szCs w:val="32"/>
        </w:rPr>
        <w:t>，推动残疾人事业高质量发展。继续加强残疾人服务体系基础设施建设，推动实现县级残疾人康复、托养和综合服务设施三者有其一，形成特色鲜明、布局合理、方便可及的残疾人服务体系。</w:t>
      </w:r>
    </w:p>
    <w:p>
      <w:pPr>
        <w:spacing w:line="580" w:lineRule="exact"/>
        <w:ind w:firstLine="640" w:firstLineChars="200"/>
        <w:rPr>
          <w:szCs w:val="32"/>
        </w:rPr>
      </w:pPr>
      <w:r>
        <w:rPr>
          <w:szCs w:val="32"/>
        </w:rPr>
        <w:t>2.建设任务和建设内容</w:t>
      </w:r>
    </w:p>
    <w:p>
      <w:pPr>
        <w:spacing w:line="580" w:lineRule="exact"/>
        <w:ind w:firstLine="640" w:firstLineChars="200"/>
        <w:rPr>
          <w:szCs w:val="32"/>
        </w:rPr>
      </w:pPr>
      <w:r>
        <w:rPr>
          <w:szCs w:val="32"/>
        </w:rPr>
        <w:t>（1）支持省、市、县级残疾人康复设施新建或改扩建，形成专业化的康复服务网络；支持市、县级残疾人托养设施新建或改扩建，搭建专业化的托养服务平台；尚未建设残疾人综合服务设施的县（市、区），可随康复和托养设施配建残疾人综合服务设施。</w:t>
      </w:r>
    </w:p>
    <w:p>
      <w:pPr>
        <w:spacing w:line="580" w:lineRule="exact"/>
        <w:ind w:firstLine="640" w:firstLineChars="200"/>
        <w:rPr>
          <w:szCs w:val="32"/>
        </w:rPr>
      </w:pPr>
      <w:r>
        <w:rPr>
          <w:szCs w:val="32"/>
        </w:rPr>
        <w:t>（2）国家拟在全国范围内支持10个示范盲人按摩医院建设，建设内容包括门诊用房、医技用房、住院用房及辅助用房等。</w:t>
      </w:r>
    </w:p>
    <w:p>
      <w:pPr>
        <w:spacing w:line="580" w:lineRule="exact"/>
        <w:ind w:firstLine="640" w:firstLineChars="200"/>
        <w:rPr>
          <w:szCs w:val="32"/>
        </w:rPr>
      </w:pPr>
      <w:r>
        <w:rPr>
          <w:szCs w:val="32"/>
        </w:rPr>
        <w:t>3.建设标准</w:t>
      </w:r>
    </w:p>
    <w:p>
      <w:pPr>
        <w:spacing w:line="580" w:lineRule="exact"/>
        <w:ind w:firstLine="640" w:firstLineChars="200"/>
        <w:rPr>
          <w:szCs w:val="32"/>
        </w:rPr>
      </w:pPr>
      <w:r>
        <w:rPr>
          <w:szCs w:val="32"/>
        </w:rPr>
        <w:t>依据《残疾人康复机构建设标准》、《残疾人托养服务机构建设标准》和《地方残疾人综合服务设施建设标准》等规划项目建设，康复设施、托养设施及综合服务设施建设规模分别控制在4800-38300平方米之间、800-10100平方米之间及670-890平方米之间。</w:t>
      </w:r>
    </w:p>
    <w:p>
      <w:pPr>
        <w:spacing w:line="580" w:lineRule="exact"/>
        <w:rPr>
          <w:szCs w:val="32"/>
        </w:rPr>
      </w:pPr>
      <w:r>
        <w:rPr>
          <w:szCs w:val="32"/>
        </w:rPr>
        <w:t xml:space="preserve">    4.资金来源</w:t>
      </w:r>
    </w:p>
    <w:p>
      <w:pPr>
        <w:spacing w:line="580" w:lineRule="exact"/>
        <w:ind w:firstLine="640"/>
        <w:rPr>
          <w:szCs w:val="32"/>
        </w:rPr>
      </w:pPr>
      <w:r>
        <w:rPr>
          <w:szCs w:val="32"/>
        </w:rPr>
        <w:t>包括中央预算内投资、地方财政投入、各级彩票公益金、社会投资等。</w:t>
      </w:r>
    </w:p>
    <w:p>
      <w:pPr>
        <w:spacing w:line="580" w:lineRule="exact"/>
        <w:ind w:firstLine="640"/>
        <w:outlineLvl w:val="2"/>
        <w:rPr>
          <w:rFonts w:eastAsia="楷体"/>
          <w:kern w:val="0"/>
          <w:szCs w:val="32"/>
        </w:rPr>
      </w:pPr>
      <w:bookmarkStart w:id="736" w:name="_Toc28082"/>
      <w:bookmarkStart w:id="737" w:name="_Toc18073"/>
      <w:r>
        <w:rPr>
          <w:rFonts w:eastAsia="楷体"/>
          <w:kern w:val="0"/>
          <w:szCs w:val="32"/>
        </w:rPr>
        <w:t>（四）退役军人保障体系项目</w:t>
      </w:r>
      <w:bookmarkEnd w:id="736"/>
      <w:bookmarkEnd w:id="737"/>
    </w:p>
    <w:p>
      <w:pPr>
        <w:spacing w:line="580" w:lineRule="exact"/>
        <w:ind w:firstLine="640"/>
        <w:rPr>
          <w:szCs w:val="32"/>
        </w:rPr>
      </w:pPr>
      <w:r>
        <w:rPr>
          <w:szCs w:val="32"/>
        </w:rPr>
        <w:t>1.建设目标</w:t>
      </w:r>
    </w:p>
    <w:p>
      <w:pPr>
        <w:spacing w:line="580" w:lineRule="exact"/>
        <w:ind w:firstLine="640"/>
        <w:rPr>
          <w:szCs w:val="32"/>
        </w:rPr>
      </w:pPr>
      <w:r>
        <w:rPr>
          <w:szCs w:val="32"/>
        </w:rPr>
        <w:t>按照国家《</w:t>
      </w:r>
      <w:r>
        <w:rPr>
          <w:color w:val="000000"/>
          <w:szCs w:val="32"/>
          <w:shd w:val="clear" w:color="auto" w:fill="FFFFFF"/>
        </w:rPr>
        <w:t>烈士纪念设施规划建设修缮管理维护总体工作方案</w:t>
      </w:r>
      <w:r>
        <w:rPr>
          <w:szCs w:val="32"/>
        </w:rPr>
        <w:t>》，依据</w:t>
      </w:r>
      <w:r>
        <w:rPr>
          <w:color w:val="000000"/>
          <w:szCs w:val="32"/>
          <w:shd w:val="clear" w:color="auto" w:fill="FFFFFF"/>
        </w:rPr>
        <w:t>着眼长远、结合实际的原则，</w:t>
      </w:r>
      <w:r>
        <w:rPr>
          <w:szCs w:val="32"/>
        </w:rPr>
        <w:t>统筹规划现有烈士纪念设施，推动烈士纪念设施标准化建设，</w:t>
      </w:r>
      <w:r>
        <w:rPr>
          <w:color w:val="000000"/>
          <w:szCs w:val="32"/>
          <w:shd w:val="clear" w:color="auto" w:fill="FFFFFF"/>
        </w:rPr>
        <w:t>将我区烈士纪念设施打造成主题突出、导向鲜明、内涵丰富的烈士纪念设施精品。</w:t>
      </w:r>
    </w:p>
    <w:p>
      <w:pPr>
        <w:spacing w:line="580" w:lineRule="exact"/>
        <w:rPr>
          <w:szCs w:val="32"/>
        </w:rPr>
      </w:pPr>
      <w:r>
        <w:rPr>
          <w:szCs w:val="32"/>
        </w:rPr>
        <w:t xml:space="preserve">    2.建设任务和建设内容</w:t>
      </w:r>
    </w:p>
    <w:p>
      <w:pPr>
        <w:spacing w:line="580" w:lineRule="exact"/>
        <w:rPr>
          <w:szCs w:val="32"/>
        </w:rPr>
      </w:pPr>
      <w:r>
        <w:rPr>
          <w:szCs w:val="32"/>
        </w:rPr>
        <w:t xml:space="preserve">    切实加强烈士纪念设施修缮保护，组织实施烈士纪念设施提质改造工程，完善设施设备，加强服务能力；优化展陈内容，创新展陈方式，提升整体效能。</w:t>
      </w:r>
    </w:p>
    <w:p>
      <w:pPr>
        <w:spacing w:line="580" w:lineRule="exact"/>
        <w:rPr>
          <w:szCs w:val="32"/>
        </w:rPr>
      </w:pPr>
      <w:r>
        <w:rPr>
          <w:szCs w:val="32"/>
        </w:rPr>
        <w:t xml:space="preserve">   3.建设标准</w:t>
      </w:r>
    </w:p>
    <w:p>
      <w:pPr>
        <w:spacing w:line="580" w:lineRule="exact"/>
        <w:rPr>
          <w:szCs w:val="32"/>
        </w:rPr>
      </w:pPr>
      <w:r>
        <w:rPr>
          <w:szCs w:val="32"/>
        </w:rPr>
        <w:t xml:space="preserve">    按照中共中央办公厅、国务院办公厅、中央军委办公厅印发的《</w:t>
      </w:r>
      <w:r>
        <w:rPr>
          <w:color w:val="000000"/>
          <w:szCs w:val="32"/>
          <w:shd w:val="clear" w:color="auto" w:fill="FFFFFF"/>
        </w:rPr>
        <w:t>烈士纪念设施规划建设修缮管理维护总体工作方案</w:t>
      </w:r>
      <w:r>
        <w:rPr>
          <w:szCs w:val="32"/>
        </w:rPr>
        <w:t>》规划项目建设。</w:t>
      </w:r>
    </w:p>
    <w:p>
      <w:pPr>
        <w:spacing w:line="580" w:lineRule="exact"/>
        <w:ind w:firstLine="640" w:firstLineChars="200"/>
        <w:rPr>
          <w:szCs w:val="32"/>
        </w:rPr>
      </w:pPr>
      <w:r>
        <w:rPr>
          <w:szCs w:val="32"/>
        </w:rPr>
        <w:t>4.资金来源</w:t>
      </w:r>
    </w:p>
    <w:p>
      <w:pPr>
        <w:spacing w:line="580" w:lineRule="exact"/>
        <w:ind w:firstLine="640" w:firstLineChars="200"/>
        <w:rPr>
          <w:szCs w:val="32"/>
        </w:rPr>
      </w:pPr>
      <w:r>
        <w:rPr>
          <w:szCs w:val="32"/>
        </w:rPr>
        <w:t>包括中央预算内投资、地方财政投入等。</w:t>
      </w:r>
    </w:p>
    <w:p>
      <w:pPr>
        <w:spacing w:line="580" w:lineRule="exact"/>
        <w:ind w:firstLine="640" w:firstLineChars="200"/>
        <w:outlineLvl w:val="1"/>
        <w:rPr>
          <w:rFonts w:eastAsia="黑体"/>
          <w:szCs w:val="32"/>
        </w:rPr>
      </w:pPr>
      <w:bookmarkStart w:id="738" w:name="_Toc25386"/>
      <w:r>
        <w:rPr>
          <w:rFonts w:eastAsia="黑体"/>
          <w:szCs w:val="32"/>
        </w:rPr>
        <w:t>五、普惠养老托幼</w:t>
      </w:r>
      <w:bookmarkEnd w:id="738"/>
      <w:bookmarkStart w:id="739" w:name="_Toc29857"/>
    </w:p>
    <w:bookmarkEnd w:id="739"/>
    <w:p>
      <w:pPr>
        <w:spacing w:line="580" w:lineRule="exact"/>
        <w:ind w:firstLine="640"/>
        <w:outlineLvl w:val="2"/>
        <w:rPr>
          <w:rFonts w:eastAsia="楷体"/>
          <w:kern w:val="0"/>
          <w:szCs w:val="32"/>
        </w:rPr>
      </w:pPr>
      <w:bookmarkStart w:id="740" w:name="_Toc16634"/>
      <w:bookmarkStart w:id="741" w:name="_Toc29031"/>
      <w:r>
        <w:rPr>
          <w:rFonts w:eastAsia="楷体"/>
          <w:kern w:val="0"/>
          <w:szCs w:val="32"/>
        </w:rPr>
        <w:t>（一）城企联动普惠养老专项行动项目</w:t>
      </w:r>
      <w:bookmarkEnd w:id="740"/>
      <w:bookmarkEnd w:id="741"/>
    </w:p>
    <w:p>
      <w:pPr>
        <w:spacing w:line="580" w:lineRule="exact"/>
        <w:ind w:firstLine="640"/>
        <w:rPr>
          <w:szCs w:val="32"/>
        </w:rPr>
      </w:pPr>
      <w:r>
        <w:rPr>
          <w:szCs w:val="32"/>
        </w:rPr>
        <w:t>1.建设目标</w:t>
      </w:r>
    </w:p>
    <w:p>
      <w:pPr>
        <w:spacing w:line="580" w:lineRule="exact"/>
        <w:ind w:firstLine="640"/>
        <w:rPr>
          <w:szCs w:val="32"/>
        </w:rPr>
      </w:pPr>
      <w:r>
        <w:rPr>
          <w:szCs w:val="32"/>
        </w:rPr>
        <w:t>到2022年，参与专行动的城市每千名老人养老床位数达到40张，护理型床位占比超过60%。</w:t>
      </w:r>
    </w:p>
    <w:p>
      <w:pPr>
        <w:numPr>
          <w:ilvl w:val="0"/>
          <w:numId w:val="7"/>
        </w:numPr>
        <w:spacing w:line="580" w:lineRule="exact"/>
        <w:ind w:firstLine="640"/>
        <w:rPr>
          <w:szCs w:val="32"/>
        </w:rPr>
      </w:pPr>
      <w:r>
        <w:rPr>
          <w:szCs w:val="32"/>
        </w:rPr>
        <w:t>建设任务</w:t>
      </w:r>
    </w:p>
    <w:p>
      <w:pPr>
        <w:spacing w:line="580" w:lineRule="exact"/>
        <w:rPr>
          <w:szCs w:val="32"/>
        </w:rPr>
      </w:pPr>
      <w:r>
        <w:rPr>
          <w:szCs w:val="32"/>
        </w:rPr>
        <w:t xml:space="preserve">    持养老服务骨干网建设，发展集中管理运营的社区嵌入式、分布式、小型化、连锁化的养老服务设施和带护理床位的日间照料中心，增加家庭服务功能模块，强化助餐、助洁、助行、助浴、助医等服务功能，深入开展医养结合服务；支持专业化养老服务机构建设，深入开展医养结合服务。</w:t>
      </w:r>
    </w:p>
    <w:p>
      <w:pPr>
        <w:spacing w:line="580" w:lineRule="exact"/>
        <w:rPr>
          <w:szCs w:val="32"/>
        </w:rPr>
      </w:pPr>
      <w:r>
        <w:rPr>
          <w:szCs w:val="32"/>
        </w:rPr>
        <w:t xml:space="preserve">    3.建设要求</w:t>
      </w:r>
    </w:p>
    <w:p>
      <w:pPr>
        <w:spacing w:line="580" w:lineRule="exact"/>
        <w:rPr>
          <w:szCs w:val="32"/>
        </w:rPr>
      </w:pPr>
      <w:r>
        <w:rPr>
          <w:szCs w:val="32"/>
        </w:rPr>
        <w:t xml:space="preserve">    养老服务设施建设的功能布局、参数设置等可参照《老年养护院建设标准》（建标144-2010）、《特困人员供养服务设施（敬老院）建设标准》（建标184-2017）的规定执行，但各类养老服务设施床均面积原则上不低于上述建设标准的下线。</w:t>
      </w:r>
    </w:p>
    <w:p>
      <w:pPr>
        <w:spacing w:line="580" w:lineRule="exact"/>
        <w:rPr>
          <w:szCs w:val="32"/>
        </w:rPr>
      </w:pPr>
      <w:r>
        <w:rPr>
          <w:szCs w:val="32"/>
        </w:rPr>
        <w:t xml:space="preserve">    4.补助标准</w:t>
      </w:r>
    </w:p>
    <w:p>
      <w:pPr>
        <w:spacing w:line="580" w:lineRule="exact"/>
        <w:rPr>
          <w:szCs w:val="32"/>
        </w:rPr>
      </w:pPr>
      <w:r>
        <w:rPr>
          <w:szCs w:val="32"/>
        </w:rPr>
        <w:t xml:space="preserve">    项目所需建设资金以社会投资为主，中央预算内投资根据项目建设规模按照每张床位2万元标准给予补助。每个城市年度补助床位数不超过10000张。床位数超过10000张或者建设任务跨年度的项目，可分年度安排。</w:t>
      </w:r>
    </w:p>
    <w:p>
      <w:pPr>
        <w:spacing w:line="580" w:lineRule="exact"/>
        <w:ind w:firstLine="640"/>
        <w:outlineLvl w:val="2"/>
        <w:rPr>
          <w:rFonts w:eastAsia="楷体"/>
          <w:kern w:val="0"/>
          <w:szCs w:val="32"/>
        </w:rPr>
      </w:pPr>
      <w:bookmarkStart w:id="742" w:name="_Toc21133"/>
      <w:bookmarkStart w:id="743" w:name="_Toc530"/>
      <w:r>
        <w:rPr>
          <w:rFonts w:eastAsia="楷体"/>
          <w:kern w:val="0"/>
          <w:szCs w:val="32"/>
        </w:rPr>
        <w:t>（二）普惠托育专项行动项目</w:t>
      </w:r>
      <w:bookmarkEnd w:id="742"/>
      <w:bookmarkEnd w:id="743"/>
    </w:p>
    <w:p>
      <w:pPr>
        <w:spacing w:line="580" w:lineRule="exact"/>
        <w:ind w:firstLine="640"/>
        <w:rPr>
          <w:szCs w:val="32"/>
        </w:rPr>
      </w:pPr>
      <w:r>
        <w:rPr>
          <w:szCs w:val="32"/>
        </w:rPr>
        <w:t>1.建设任务</w:t>
      </w:r>
    </w:p>
    <w:p>
      <w:pPr>
        <w:spacing w:line="580" w:lineRule="exact"/>
        <w:rPr>
          <w:szCs w:val="32"/>
        </w:rPr>
      </w:pPr>
      <w:r>
        <w:rPr>
          <w:szCs w:val="32"/>
        </w:rPr>
        <w:t xml:space="preserve">    通过新建、改扩建，支持一批嵌入式、分布式、连锁化、专业化的社区托育服务设施建设；支持在老城区和已建成居住区新建、改扩建托育服务设施；支持学前教育机构等通过新建、改扩建等方式提供托育服务。</w:t>
      </w:r>
    </w:p>
    <w:p>
      <w:pPr>
        <w:spacing w:line="580" w:lineRule="exact"/>
        <w:rPr>
          <w:szCs w:val="32"/>
        </w:rPr>
      </w:pPr>
      <w:r>
        <w:rPr>
          <w:szCs w:val="32"/>
        </w:rPr>
        <w:t xml:space="preserve">    2.建设要求</w:t>
      </w:r>
    </w:p>
    <w:p>
      <w:pPr>
        <w:spacing w:line="580" w:lineRule="exact"/>
        <w:rPr>
          <w:szCs w:val="32"/>
        </w:rPr>
      </w:pPr>
      <w:r>
        <w:rPr>
          <w:szCs w:val="32"/>
        </w:rPr>
        <w:t xml:space="preserve">    托育服务设施建设的功能布局、参数设置等应按照《托育服务设置标准（试行）》和抗震、防火、防洪等国家相关标准的规定执行，并可参考《托儿所、幼儿园建设设计规范》（JGJ39）的规定。</w:t>
      </w:r>
    </w:p>
    <w:p>
      <w:pPr>
        <w:spacing w:line="580" w:lineRule="exact"/>
        <w:ind w:firstLine="640" w:firstLineChars="200"/>
        <w:rPr>
          <w:szCs w:val="32"/>
        </w:rPr>
      </w:pPr>
      <w:r>
        <w:rPr>
          <w:szCs w:val="32"/>
        </w:rPr>
        <w:t>3.补助标准</w:t>
      </w:r>
    </w:p>
    <w:p>
      <w:pPr>
        <w:spacing w:line="580" w:lineRule="exact"/>
        <w:ind w:firstLine="640" w:firstLineChars="200"/>
        <w:rPr>
          <w:szCs w:val="32"/>
        </w:rPr>
      </w:pPr>
      <w:r>
        <w:rPr>
          <w:szCs w:val="32"/>
        </w:rPr>
        <w:t>项目所需建设资金以社会投资为主，对于承担一定指导功能的示范性托育服务机构和社区服务设施，中央预算内投资按每个托位给予1万元的补助。</w:t>
      </w:r>
    </w:p>
    <w:p>
      <w:pPr>
        <w:spacing w:line="600" w:lineRule="exact"/>
        <w:rPr>
          <w:szCs w:val="32"/>
        </w:rPr>
      </w:pPr>
      <w:r>
        <w:rPr>
          <w:szCs w:val="32"/>
        </w:rPr>
        <w:br w:type="page"/>
      </w:r>
    </w:p>
    <w:p>
      <w:pPr>
        <w:spacing w:line="600" w:lineRule="exact"/>
        <w:jc w:val="center"/>
        <w:outlineLvl w:val="0"/>
        <w:rPr>
          <w:rFonts w:eastAsia="方正小标宋_GBK"/>
          <w:color w:val="000000"/>
          <w:sz w:val="44"/>
          <w:szCs w:val="44"/>
        </w:rPr>
      </w:pPr>
      <w:bookmarkStart w:id="744" w:name="_Toc10337"/>
      <w:r>
        <w:rPr>
          <w:rFonts w:eastAsia="方正小标宋_GBK"/>
          <w:color w:val="000000"/>
          <w:sz w:val="44"/>
          <w:szCs w:val="44"/>
        </w:rPr>
        <w:t>第十二部分  城市基础设施</w:t>
      </w:r>
      <w:bookmarkEnd w:id="744"/>
    </w:p>
    <w:p>
      <w:pPr>
        <w:spacing w:line="600" w:lineRule="exact"/>
        <w:jc w:val="center"/>
        <w:rPr>
          <w:color w:val="000000"/>
          <w:szCs w:val="32"/>
        </w:rPr>
      </w:pPr>
    </w:p>
    <w:p>
      <w:pPr>
        <w:spacing w:line="580" w:lineRule="exact"/>
        <w:outlineLvl w:val="1"/>
        <w:rPr>
          <w:rFonts w:eastAsia="黑体"/>
          <w:b/>
          <w:bCs/>
          <w:szCs w:val="32"/>
        </w:rPr>
      </w:pPr>
      <w:r>
        <w:rPr>
          <w:rFonts w:eastAsia="黑体"/>
          <w:b/>
          <w:bCs/>
          <w:szCs w:val="32"/>
        </w:rPr>
        <w:t xml:space="preserve">   </w:t>
      </w:r>
      <w:r>
        <w:rPr>
          <w:rFonts w:eastAsia="黑体"/>
          <w:szCs w:val="32"/>
        </w:rPr>
        <w:t xml:space="preserve"> </w:t>
      </w:r>
      <w:bookmarkStart w:id="745" w:name="_Toc19762"/>
      <w:r>
        <w:rPr>
          <w:rFonts w:eastAsia="黑体"/>
          <w:szCs w:val="32"/>
        </w:rPr>
        <w:t>一、城镇老旧小区改造项目</w:t>
      </w:r>
      <w:bookmarkEnd w:id="745"/>
    </w:p>
    <w:p>
      <w:pPr>
        <w:numPr>
          <w:ilvl w:val="0"/>
          <w:numId w:val="8"/>
        </w:numPr>
        <w:spacing w:line="580" w:lineRule="exact"/>
        <w:ind w:firstLine="640" w:firstLineChars="200"/>
        <w:rPr>
          <w:szCs w:val="32"/>
        </w:rPr>
      </w:pPr>
      <w:r>
        <w:rPr>
          <w:szCs w:val="32"/>
        </w:rPr>
        <w:t>建设单位</w:t>
      </w:r>
    </w:p>
    <w:p>
      <w:pPr>
        <w:pStyle w:val="2"/>
        <w:widowControl w:val="0"/>
        <w:spacing w:before="0" w:after="0" w:line="58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××县（区）住建局</w:t>
      </w:r>
    </w:p>
    <w:p>
      <w:pPr>
        <w:spacing w:line="580" w:lineRule="exact"/>
        <w:rPr>
          <w:szCs w:val="32"/>
        </w:rPr>
      </w:pPr>
      <w:r>
        <w:rPr>
          <w:szCs w:val="32"/>
        </w:rPr>
        <w:t xml:space="preserve">    2.主要建设内容或规模</w:t>
      </w:r>
    </w:p>
    <w:p>
      <w:pPr>
        <w:spacing w:line="580" w:lineRule="exact"/>
        <w:rPr>
          <w:szCs w:val="32"/>
        </w:rPr>
      </w:pPr>
      <w:r>
        <w:rPr>
          <w:szCs w:val="32"/>
        </w:rPr>
        <w:t xml:space="preserve">    （1）建筑节能，加装电梯。</w:t>
      </w:r>
    </w:p>
    <w:p>
      <w:pPr>
        <w:spacing w:line="580" w:lineRule="exact"/>
        <w:rPr>
          <w:szCs w:val="32"/>
        </w:rPr>
      </w:pPr>
      <w:r>
        <w:rPr>
          <w:szCs w:val="32"/>
        </w:rPr>
        <w:t xml:space="preserve">    （2）配套基础设施：小区内的道路、给排水、供电、供气、供暖、绿化、照明、围墙、垃圾收储等基础设施，与小区直接相关的道路和公共交通、通信、供电、给排水、供气、供热、停车库（场）等设施。</w:t>
      </w:r>
    </w:p>
    <w:p>
      <w:pPr>
        <w:spacing w:line="580" w:lineRule="exact"/>
        <w:rPr>
          <w:spacing w:val="-6"/>
          <w:szCs w:val="32"/>
        </w:rPr>
      </w:pPr>
      <w:r>
        <w:rPr>
          <w:szCs w:val="32"/>
        </w:rPr>
        <w:t xml:space="preserve">    （3）公</w:t>
      </w:r>
      <w:r>
        <w:rPr>
          <w:spacing w:val="-6"/>
          <w:szCs w:val="32"/>
        </w:rPr>
        <w:t>共服务设施：小区的养老抚幼、无障碍、便民等设施。</w:t>
      </w:r>
    </w:p>
    <w:p>
      <w:pPr>
        <w:spacing w:line="580" w:lineRule="exact"/>
        <w:rPr>
          <w:szCs w:val="32"/>
        </w:rPr>
      </w:pPr>
      <w:r>
        <w:rPr>
          <w:szCs w:val="32"/>
        </w:rPr>
        <w:t xml:space="preserve">    3.实施年限</w:t>
      </w:r>
    </w:p>
    <w:p>
      <w:pPr>
        <w:spacing w:line="580" w:lineRule="exact"/>
        <w:ind w:firstLine="640"/>
        <w:rPr>
          <w:szCs w:val="32"/>
        </w:rPr>
      </w:pPr>
      <w:r>
        <w:rPr>
          <w:szCs w:val="32"/>
        </w:rPr>
        <w:t>建设期控制在1-2年为宜。</w:t>
      </w:r>
    </w:p>
    <w:p>
      <w:pPr>
        <w:spacing w:line="580" w:lineRule="exact"/>
        <w:rPr>
          <w:szCs w:val="32"/>
        </w:rPr>
      </w:pPr>
      <w:r>
        <w:rPr>
          <w:szCs w:val="32"/>
        </w:rPr>
        <w:t xml:space="preserve">    4.估算投资</w:t>
      </w:r>
    </w:p>
    <w:p>
      <w:pPr>
        <w:spacing w:line="580" w:lineRule="exact"/>
        <w:rPr>
          <w:szCs w:val="32"/>
        </w:rPr>
      </w:pPr>
      <w:r>
        <w:rPr>
          <w:szCs w:val="32"/>
        </w:rPr>
        <w:t xml:space="preserve">    单个项目总投资控制在1亿元以内。工程体量大的项目可采取一次性规划，分期实施，单个立项的方式分批次建设。</w:t>
      </w:r>
    </w:p>
    <w:p>
      <w:pPr>
        <w:spacing w:line="580" w:lineRule="exact"/>
        <w:rPr>
          <w:szCs w:val="32"/>
        </w:rPr>
      </w:pPr>
      <w:r>
        <w:rPr>
          <w:szCs w:val="32"/>
        </w:rPr>
        <w:t xml:space="preserve">    5.资金来源初步方案</w:t>
      </w:r>
    </w:p>
    <w:p>
      <w:pPr>
        <w:spacing w:line="580" w:lineRule="exact"/>
        <w:ind w:firstLine="640"/>
        <w:rPr>
          <w:szCs w:val="32"/>
        </w:rPr>
      </w:pPr>
      <w:r>
        <w:rPr>
          <w:szCs w:val="32"/>
        </w:rPr>
        <w:t>以政府投资（中央预算内投资补助＋地方预算内资金配套）为主，</w:t>
      </w:r>
      <w:r>
        <w:rPr>
          <w:szCs w:val="32"/>
          <w:shd w:val="clear" w:color="auto" w:fill="FFFFFF"/>
        </w:rPr>
        <w:t>吸引社会资本形成合力。</w:t>
      </w:r>
    </w:p>
    <w:p>
      <w:pPr>
        <w:spacing w:line="580" w:lineRule="exact"/>
        <w:rPr>
          <w:szCs w:val="32"/>
        </w:rPr>
      </w:pPr>
      <w:r>
        <w:rPr>
          <w:szCs w:val="32"/>
        </w:rPr>
        <w:t xml:space="preserve">    6.经济社会效益</w:t>
      </w:r>
    </w:p>
    <w:p>
      <w:pPr>
        <w:spacing w:line="580" w:lineRule="exact"/>
        <w:rPr>
          <w:szCs w:val="32"/>
        </w:rPr>
      </w:pPr>
      <w:r>
        <w:rPr>
          <w:szCs w:val="32"/>
        </w:rPr>
        <w:t xml:space="preserve">   改善城镇群众居住条件，增加公共产品和公共服务供给，更好满足人民日益增长的美好生活需要。</w:t>
      </w:r>
    </w:p>
    <w:p>
      <w:pPr>
        <w:spacing w:line="580" w:lineRule="exact"/>
        <w:ind w:firstLine="640" w:firstLineChars="200"/>
        <w:outlineLvl w:val="1"/>
        <w:rPr>
          <w:b/>
          <w:bCs/>
          <w:szCs w:val="32"/>
        </w:rPr>
      </w:pPr>
      <w:bookmarkStart w:id="746" w:name="_Toc30065"/>
      <w:r>
        <w:rPr>
          <w:rFonts w:eastAsia="黑体"/>
          <w:szCs w:val="32"/>
        </w:rPr>
        <w:t>二、城市排水防涝设施建设项目</w:t>
      </w:r>
      <w:bookmarkEnd w:id="746"/>
    </w:p>
    <w:p>
      <w:pPr>
        <w:spacing w:line="580" w:lineRule="exact"/>
        <w:ind w:firstLine="640" w:firstLineChars="200"/>
        <w:rPr>
          <w:szCs w:val="32"/>
        </w:rPr>
      </w:pPr>
      <w:r>
        <w:rPr>
          <w:szCs w:val="32"/>
        </w:rPr>
        <w:t>1.建设单位</w:t>
      </w:r>
    </w:p>
    <w:p>
      <w:pPr>
        <w:pStyle w:val="2"/>
        <w:widowControl w:val="0"/>
        <w:spacing w:before="0" w:after="0" w:line="58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××县（区）住建局</w:t>
      </w:r>
    </w:p>
    <w:p>
      <w:pPr>
        <w:spacing w:line="580" w:lineRule="exact"/>
        <w:ind w:firstLine="640"/>
        <w:rPr>
          <w:szCs w:val="32"/>
        </w:rPr>
      </w:pPr>
      <w:r>
        <w:rPr>
          <w:szCs w:val="32"/>
        </w:rPr>
        <w:t>2.主要建设内容或规模</w:t>
      </w:r>
    </w:p>
    <w:p>
      <w:pPr>
        <w:spacing w:line="580" w:lineRule="exact"/>
        <w:ind w:firstLine="640"/>
        <w:rPr>
          <w:szCs w:val="32"/>
        </w:rPr>
      </w:pPr>
      <w:r>
        <w:rPr>
          <w:szCs w:val="32"/>
        </w:rPr>
        <w:t>（1）地下排水管渠：对易涝点雨水口和排水管渠进行改造，增设雨水篦，新建排水（雨水）管渠；结合地形坡度、管线路由等实际情况，科学合理设置大型排水（雨水）管渠。</w:t>
      </w:r>
    </w:p>
    <w:p>
      <w:pPr>
        <w:spacing w:line="580" w:lineRule="exact"/>
        <w:ind w:firstLine="640"/>
        <w:rPr>
          <w:szCs w:val="32"/>
        </w:rPr>
      </w:pPr>
      <w:r>
        <w:rPr>
          <w:szCs w:val="32"/>
        </w:rPr>
        <w:t>（2）城市排涝除险设施：对易涝点的排水防涝泵站进行升级改造或增设机排能力，充分利用绿地、广场、立交桥区空间建设雨水调蓄设施，配套建设雨水泵站自动控制系统和遥测遥控及预警预报系统。结合自然地形地貌、城市内河、次干道路、大型排水明渠干沟建设，建设雨洪行汇通道。根据应急预案，按需储备应急抢险移动泵车、发电机等设施设备。</w:t>
      </w:r>
    </w:p>
    <w:p>
      <w:pPr>
        <w:spacing w:line="580" w:lineRule="exact"/>
        <w:ind w:firstLine="640"/>
        <w:rPr>
          <w:szCs w:val="32"/>
        </w:rPr>
      </w:pPr>
      <w:r>
        <w:rPr>
          <w:szCs w:val="32"/>
        </w:rPr>
        <w:t xml:space="preserve">（3）城市数字化综合信息管理平台：完善城市数字化综合信息管理平台，在易涝点设雨量计、液位计、流量计等设备，加强数据实时采集与传输，满足日常管理、运行调度、灾情预判、预警预报和辅助决策等需要，提高城市排水防涝运行管理水平。 </w:t>
      </w:r>
      <w:r>
        <w:rPr>
          <w:color w:val="000000"/>
          <w:szCs w:val="32"/>
        </w:rPr>
        <w:t xml:space="preserve">  </w:t>
      </w:r>
    </w:p>
    <w:p>
      <w:pPr>
        <w:spacing w:line="580" w:lineRule="exact"/>
        <w:rPr>
          <w:rFonts w:eastAsia="黑体"/>
          <w:szCs w:val="32"/>
        </w:rPr>
      </w:pPr>
      <w:r>
        <w:rPr>
          <w:rFonts w:eastAsia="黑体"/>
          <w:szCs w:val="32"/>
        </w:rPr>
        <w:t xml:space="preserve">   </w:t>
      </w:r>
      <w:r>
        <w:rPr>
          <w:szCs w:val="32"/>
        </w:rPr>
        <w:t xml:space="preserve"> 3.实施年限</w:t>
      </w:r>
    </w:p>
    <w:p>
      <w:pPr>
        <w:spacing w:line="580" w:lineRule="exact"/>
        <w:ind w:firstLine="640"/>
        <w:rPr>
          <w:szCs w:val="32"/>
        </w:rPr>
      </w:pPr>
      <w:r>
        <w:rPr>
          <w:szCs w:val="32"/>
        </w:rPr>
        <w:t>建设期控制在1-2年为宜。</w:t>
      </w:r>
    </w:p>
    <w:p>
      <w:pPr>
        <w:spacing w:line="580" w:lineRule="exact"/>
        <w:rPr>
          <w:szCs w:val="32"/>
        </w:rPr>
      </w:pPr>
      <w:r>
        <w:rPr>
          <w:szCs w:val="32"/>
        </w:rPr>
        <w:t xml:space="preserve">    4.估算投资</w:t>
      </w:r>
    </w:p>
    <w:p>
      <w:pPr>
        <w:spacing w:line="580" w:lineRule="exact"/>
        <w:rPr>
          <w:szCs w:val="32"/>
        </w:rPr>
      </w:pPr>
      <w:r>
        <w:rPr>
          <w:szCs w:val="32"/>
        </w:rPr>
        <w:t xml:space="preserve">    单个项目总投资控制在3亿元以内。工程体量大的项目可采取一次性规划，分期实施，单个立项的方式分批次建设。</w:t>
      </w:r>
    </w:p>
    <w:p>
      <w:pPr>
        <w:spacing w:line="580" w:lineRule="exact"/>
        <w:rPr>
          <w:szCs w:val="32"/>
        </w:rPr>
      </w:pPr>
      <w:r>
        <w:rPr>
          <w:szCs w:val="32"/>
        </w:rPr>
        <w:t xml:space="preserve">    5.资金来源初步方案</w:t>
      </w:r>
    </w:p>
    <w:p>
      <w:pPr>
        <w:spacing w:line="580" w:lineRule="exact"/>
        <w:ind w:firstLine="640"/>
        <w:rPr>
          <w:szCs w:val="32"/>
        </w:rPr>
      </w:pPr>
      <w:r>
        <w:rPr>
          <w:szCs w:val="32"/>
        </w:rPr>
        <w:t>政府投资（中央预算内投资补助＋地方预算内资金配套）+</w:t>
      </w:r>
      <w:r>
        <w:rPr>
          <w:szCs w:val="32"/>
          <w:shd w:val="clear" w:color="auto" w:fill="FFFFFF"/>
        </w:rPr>
        <w:t>社会资本。</w:t>
      </w:r>
    </w:p>
    <w:p>
      <w:pPr>
        <w:spacing w:line="580" w:lineRule="exact"/>
        <w:rPr>
          <w:szCs w:val="32"/>
        </w:rPr>
      </w:pPr>
      <w:r>
        <w:rPr>
          <w:szCs w:val="32"/>
        </w:rPr>
        <w:t xml:space="preserve">    6.经济社会效益</w:t>
      </w:r>
    </w:p>
    <w:p>
      <w:pPr>
        <w:spacing w:line="580" w:lineRule="exact"/>
        <w:rPr>
          <w:color w:val="000000"/>
          <w:szCs w:val="32"/>
          <w:shd w:val="clear" w:color="auto" w:fill="FFFFFF"/>
        </w:rPr>
      </w:pPr>
      <w:r>
        <w:rPr>
          <w:szCs w:val="32"/>
        </w:rPr>
        <w:t xml:space="preserve">   </w:t>
      </w:r>
      <w:r>
        <w:rPr>
          <w:color w:val="000000"/>
          <w:szCs w:val="32"/>
          <w:shd w:val="clear" w:color="auto" w:fill="FFFFFF"/>
        </w:rPr>
        <w:t>完善城市排水防涝工程体系，提高城市防灾减灾能力和安全保障水平，保障人民群众生命财产安全。</w:t>
      </w:r>
    </w:p>
    <w:p>
      <w:pPr>
        <w:spacing w:line="580" w:lineRule="exact"/>
        <w:outlineLvl w:val="1"/>
        <w:rPr>
          <w:b/>
          <w:bCs/>
          <w:szCs w:val="32"/>
        </w:rPr>
      </w:pPr>
      <w:r>
        <w:rPr>
          <w:b/>
          <w:bCs/>
          <w:szCs w:val="32"/>
        </w:rPr>
        <w:t xml:space="preserve">   </w:t>
      </w:r>
      <w:r>
        <w:rPr>
          <w:rFonts w:eastAsia="黑体"/>
          <w:szCs w:val="32"/>
        </w:rPr>
        <w:t xml:space="preserve"> </w:t>
      </w:r>
      <w:bookmarkStart w:id="747" w:name="_Toc24265"/>
      <w:r>
        <w:rPr>
          <w:rFonts w:eastAsia="黑体"/>
          <w:szCs w:val="32"/>
        </w:rPr>
        <w:t>三、城市集中供水项目</w:t>
      </w:r>
      <w:bookmarkEnd w:id="747"/>
    </w:p>
    <w:p>
      <w:pPr>
        <w:spacing w:line="580" w:lineRule="exact"/>
        <w:ind w:firstLine="640" w:firstLineChars="200"/>
        <w:rPr>
          <w:szCs w:val="32"/>
        </w:rPr>
      </w:pPr>
      <w:r>
        <w:rPr>
          <w:rFonts w:eastAsia="黑体"/>
          <w:color w:val="000000"/>
          <w:kern w:val="0"/>
          <w:szCs w:val="32"/>
          <w:shd w:val="clear" w:color="auto" w:fill="FFFFFF"/>
        </w:rPr>
        <w:t>1.</w:t>
      </w:r>
      <w:r>
        <w:rPr>
          <w:szCs w:val="32"/>
        </w:rPr>
        <w:t>建设单位</w:t>
      </w:r>
    </w:p>
    <w:p>
      <w:pPr>
        <w:pStyle w:val="2"/>
        <w:widowControl w:val="0"/>
        <w:spacing w:before="0" w:after="0" w:line="58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××县（区）住建局</w:t>
      </w:r>
    </w:p>
    <w:p>
      <w:pPr>
        <w:spacing w:line="580" w:lineRule="exact"/>
        <w:rPr>
          <w:rFonts w:eastAsia="黑体"/>
          <w:szCs w:val="32"/>
        </w:rPr>
      </w:pPr>
      <w:r>
        <w:rPr>
          <w:rFonts w:eastAsia="黑体"/>
          <w:szCs w:val="32"/>
        </w:rPr>
        <w:t xml:space="preserve">   </w:t>
      </w:r>
      <w:r>
        <w:rPr>
          <w:szCs w:val="32"/>
        </w:rPr>
        <w:t xml:space="preserve"> 2.主要建设内容或规模</w:t>
      </w:r>
    </w:p>
    <w:p>
      <w:pPr>
        <w:spacing w:line="580" w:lineRule="exact"/>
        <w:rPr>
          <w:szCs w:val="32"/>
        </w:rPr>
      </w:pPr>
      <w:r>
        <w:rPr>
          <w:szCs w:val="32"/>
        </w:rPr>
        <w:t xml:space="preserve">   城市供水系统包括城市取水工程、净水工程、输配水工程等。</w:t>
      </w:r>
    </w:p>
    <w:p>
      <w:pPr>
        <w:spacing w:line="580" w:lineRule="exact"/>
        <w:ind w:firstLine="640" w:firstLineChars="200"/>
        <w:rPr>
          <w:spacing w:val="-6"/>
          <w:szCs w:val="32"/>
        </w:rPr>
      </w:pPr>
      <w:r>
        <w:rPr>
          <w:szCs w:val="32"/>
        </w:rPr>
        <w:t>（1）城</w:t>
      </w:r>
      <w:r>
        <w:rPr>
          <w:spacing w:val="-6"/>
          <w:szCs w:val="32"/>
        </w:rPr>
        <w:t>市取水工程：包括城市水源、取水口、取水构筑物、提升原水的一级泵站以及输送原水到净水工程的输水管等设施，还应包括在特殊情况下为蓄、引城市水源所筑的水闸、堤坝等设施。</w:t>
      </w:r>
    </w:p>
    <w:p>
      <w:pPr>
        <w:spacing w:line="580" w:lineRule="exact"/>
        <w:ind w:firstLine="640" w:firstLineChars="200"/>
        <w:rPr>
          <w:szCs w:val="32"/>
        </w:rPr>
      </w:pPr>
      <w:r>
        <w:rPr>
          <w:szCs w:val="32"/>
        </w:rPr>
        <w:t>（2）净水工程：净水工程包括城市自来水厂、清水库、输送净水的二级泵站等设施。</w:t>
      </w:r>
    </w:p>
    <w:p>
      <w:pPr>
        <w:spacing w:line="580" w:lineRule="exact"/>
        <w:ind w:firstLine="640" w:firstLineChars="200"/>
        <w:rPr>
          <w:szCs w:val="32"/>
        </w:rPr>
      </w:pPr>
      <w:r>
        <w:rPr>
          <w:szCs w:val="32"/>
        </w:rPr>
        <w:t>（3）输配水工程：输配水工程包括从净水工程输入城市供配水管网的输水管道、供配水管网以及调节水量、水压的高压水池、水塔、清水增压泵站等设施。</w:t>
      </w:r>
    </w:p>
    <w:p>
      <w:pPr>
        <w:spacing w:line="580" w:lineRule="exact"/>
        <w:rPr>
          <w:rFonts w:eastAsia="黑体"/>
          <w:szCs w:val="32"/>
        </w:rPr>
      </w:pPr>
      <w:r>
        <w:rPr>
          <w:rFonts w:eastAsia="黑体"/>
          <w:szCs w:val="32"/>
        </w:rPr>
        <w:t xml:space="preserve">   </w:t>
      </w:r>
      <w:r>
        <w:rPr>
          <w:szCs w:val="32"/>
        </w:rPr>
        <w:t xml:space="preserve"> 3.实施年限</w:t>
      </w:r>
    </w:p>
    <w:p>
      <w:pPr>
        <w:spacing w:line="580" w:lineRule="exact"/>
        <w:ind w:firstLine="640"/>
        <w:rPr>
          <w:szCs w:val="32"/>
        </w:rPr>
      </w:pPr>
      <w:r>
        <w:rPr>
          <w:szCs w:val="32"/>
        </w:rPr>
        <w:t>建设期控制在1-2年为宜。</w:t>
      </w:r>
    </w:p>
    <w:p>
      <w:pPr>
        <w:spacing w:line="580" w:lineRule="exact"/>
        <w:rPr>
          <w:szCs w:val="32"/>
        </w:rPr>
      </w:pPr>
      <w:r>
        <w:rPr>
          <w:szCs w:val="32"/>
        </w:rPr>
        <w:t xml:space="preserve">    4.估算投资</w:t>
      </w:r>
    </w:p>
    <w:p>
      <w:pPr>
        <w:spacing w:line="580" w:lineRule="exact"/>
        <w:rPr>
          <w:szCs w:val="32"/>
        </w:rPr>
      </w:pPr>
      <w:r>
        <w:rPr>
          <w:szCs w:val="32"/>
        </w:rPr>
        <w:t xml:space="preserve">    单个项目总投资控制在5亿元以内为宜。工程体量大的项目可采取一次性规划，分期实施，单个立项的方式分批次建设。</w:t>
      </w:r>
    </w:p>
    <w:p>
      <w:pPr>
        <w:spacing w:line="580" w:lineRule="exact"/>
        <w:rPr>
          <w:szCs w:val="32"/>
        </w:rPr>
      </w:pPr>
      <w:r>
        <w:rPr>
          <w:szCs w:val="32"/>
        </w:rPr>
        <w:t xml:space="preserve">    5.资金来源初步方案</w:t>
      </w:r>
    </w:p>
    <w:p>
      <w:pPr>
        <w:spacing w:line="580" w:lineRule="exact"/>
        <w:ind w:firstLine="640"/>
        <w:rPr>
          <w:szCs w:val="32"/>
        </w:rPr>
      </w:pPr>
      <w:r>
        <w:rPr>
          <w:szCs w:val="32"/>
        </w:rPr>
        <w:t>政府投资+</w:t>
      </w:r>
      <w:r>
        <w:rPr>
          <w:szCs w:val="32"/>
          <w:shd w:val="clear" w:color="auto" w:fill="FFFFFF"/>
        </w:rPr>
        <w:t>社会资本</w:t>
      </w:r>
    </w:p>
    <w:p>
      <w:pPr>
        <w:spacing w:line="580" w:lineRule="exact"/>
        <w:ind w:firstLine="640"/>
        <w:rPr>
          <w:szCs w:val="32"/>
        </w:rPr>
      </w:pPr>
      <w:r>
        <w:rPr>
          <w:szCs w:val="32"/>
        </w:rPr>
        <w:t>6.经济社会效益</w:t>
      </w:r>
    </w:p>
    <w:p>
      <w:pPr>
        <w:spacing w:line="580" w:lineRule="exact"/>
        <w:ind w:firstLine="640"/>
        <w:rPr>
          <w:b/>
          <w:bCs/>
          <w:szCs w:val="32"/>
        </w:rPr>
      </w:pPr>
      <w:r>
        <w:rPr>
          <w:szCs w:val="32"/>
        </w:rPr>
        <w:t>改善城镇群众居住条件，满足生活、生产各类水质需求，增加公共产品和公共服务供给。</w:t>
      </w:r>
    </w:p>
    <w:p>
      <w:pPr>
        <w:spacing w:line="580" w:lineRule="exact"/>
        <w:ind w:firstLine="640" w:firstLineChars="200"/>
        <w:outlineLvl w:val="1"/>
        <w:rPr>
          <w:rFonts w:eastAsia="黑体"/>
          <w:szCs w:val="32"/>
        </w:rPr>
      </w:pPr>
      <w:bookmarkStart w:id="748" w:name="_Toc18932"/>
      <w:r>
        <w:rPr>
          <w:rFonts w:eastAsia="黑体"/>
          <w:szCs w:val="32"/>
        </w:rPr>
        <w:t>四、海绵城市建设项目</w:t>
      </w:r>
      <w:bookmarkEnd w:id="748"/>
    </w:p>
    <w:p>
      <w:pPr>
        <w:spacing w:line="580" w:lineRule="exact"/>
        <w:ind w:firstLine="640" w:firstLineChars="200"/>
        <w:rPr>
          <w:szCs w:val="32"/>
        </w:rPr>
      </w:pPr>
      <w:r>
        <w:rPr>
          <w:rFonts w:eastAsia="楷体"/>
          <w:szCs w:val="32"/>
        </w:rPr>
        <w:t>1.</w:t>
      </w:r>
      <w:r>
        <w:rPr>
          <w:szCs w:val="32"/>
        </w:rPr>
        <w:t>建设单位</w:t>
      </w:r>
    </w:p>
    <w:p>
      <w:pPr>
        <w:pStyle w:val="2"/>
        <w:widowControl w:val="0"/>
        <w:spacing w:before="0" w:after="0" w:line="58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××县（区）住建局</w:t>
      </w:r>
    </w:p>
    <w:p>
      <w:pPr>
        <w:spacing w:line="580" w:lineRule="exact"/>
        <w:rPr>
          <w:szCs w:val="32"/>
        </w:rPr>
      </w:pPr>
      <w:r>
        <w:rPr>
          <w:rFonts w:eastAsia="黑体"/>
          <w:szCs w:val="32"/>
        </w:rPr>
        <w:t xml:space="preserve">   </w:t>
      </w:r>
      <w:r>
        <w:rPr>
          <w:szCs w:val="32"/>
        </w:rPr>
        <w:t xml:space="preserve"> 2.主要建设内容或规模</w:t>
      </w:r>
    </w:p>
    <w:p>
      <w:pPr>
        <w:spacing w:line="580" w:lineRule="exact"/>
        <w:rPr>
          <w:szCs w:val="32"/>
        </w:rPr>
      </w:pPr>
      <w:r>
        <w:rPr>
          <w:szCs w:val="32"/>
        </w:rPr>
        <w:t xml:space="preserve">   建设或改造建筑小区绿色屋顶、可渗透路面及自然地面；建设下凹式绿地、植草沟、调蓄池；保护、恢复和改造城市建成区内河湖水域、湿地并加以利用，因地制宜建设雨水收集调蓄设施；建设污水处理设施及管网、综合整治河道、建设沿岸生态缓坡及开展海湾清淤；雨污分流管网改造、低洼积水点的排水设施提标改造等。</w:t>
      </w:r>
    </w:p>
    <w:p>
      <w:pPr>
        <w:spacing w:line="580" w:lineRule="exact"/>
        <w:rPr>
          <w:rFonts w:eastAsia="黑体"/>
          <w:szCs w:val="32"/>
        </w:rPr>
      </w:pPr>
      <w:r>
        <w:rPr>
          <w:rFonts w:eastAsia="黑体"/>
          <w:szCs w:val="32"/>
        </w:rPr>
        <w:t xml:space="preserve">    </w:t>
      </w:r>
      <w:r>
        <w:rPr>
          <w:szCs w:val="32"/>
        </w:rPr>
        <w:t>3.实施年限</w:t>
      </w:r>
    </w:p>
    <w:p>
      <w:pPr>
        <w:spacing w:line="580" w:lineRule="exact"/>
        <w:ind w:firstLine="640"/>
        <w:rPr>
          <w:szCs w:val="32"/>
        </w:rPr>
      </w:pPr>
      <w:r>
        <w:rPr>
          <w:szCs w:val="32"/>
        </w:rPr>
        <w:t>建设期控制在1-2年为宜。</w:t>
      </w:r>
    </w:p>
    <w:p>
      <w:pPr>
        <w:spacing w:line="580" w:lineRule="exact"/>
        <w:rPr>
          <w:szCs w:val="32"/>
        </w:rPr>
      </w:pPr>
      <w:r>
        <w:rPr>
          <w:szCs w:val="32"/>
        </w:rPr>
        <w:t xml:space="preserve">    4.估算投资</w:t>
      </w:r>
    </w:p>
    <w:p>
      <w:pPr>
        <w:spacing w:line="580" w:lineRule="exact"/>
        <w:rPr>
          <w:szCs w:val="32"/>
        </w:rPr>
      </w:pPr>
      <w:r>
        <w:rPr>
          <w:szCs w:val="32"/>
        </w:rPr>
        <w:t xml:space="preserve">    单个项目总投资控制在5亿元以内。工程体量大的项目可采取一次性规划，分期实施，单个立项的方式分批次建设。</w:t>
      </w:r>
    </w:p>
    <w:p>
      <w:pPr>
        <w:spacing w:line="580" w:lineRule="exact"/>
        <w:rPr>
          <w:szCs w:val="32"/>
        </w:rPr>
      </w:pPr>
      <w:r>
        <w:rPr>
          <w:szCs w:val="32"/>
        </w:rPr>
        <w:t xml:space="preserve">    5.资金来源初步方案</w:t>
      </w:r>
    </w:p>
    <w:p>
      <w:pPr>
        <w:spacing w:line="580" w:lineRule="exact"/>
        <w:ind w:firstLine="640"/>
        <w:rPr>
          <w:szCs w:val="32"/>
          <w:shd w:val="clear" w:color="auto" w:fill="FFFFFF"/>
        </w:rPr>
      </w:pPr>
      <w:r>
        <w:rPr>
          <w:szCs w:val="32"/>
        </w:rPr>
        <w:t>政府投资+</w:t>
      </w:r>
      <w:r>
        <w:rPr>
          <w:szCs w:val="32"/>
          <w:shd w:val="clear" w:color="auto" w:fill="FFFFFF"/>
        </w:rPr>
        <w:t>社会资本</w:t>
      </w:r>
    </w:p>
    <w:p>
      <w:pPr>
        <w:spacing w:line="580" w:lineRule="exact"/>
        <w:rPr>
          <w:szCs w:val="32"/>
        </w:rPr>
      </w:pPr>
      <w:r>
        <w:rPr>
          <w:color w:val="FF0000"/>
          <w:szCs w:val="32"/>
        </w:rPr>
        <w:t xml:space="preserve">   </w:t>
      </w:r>
      <w:r>
        <w:rPr>
          <w:szCs w:val="32"/>
        </w:rPr>
        <w:t xml:space="preserve"> 6.经济社会效益</w:t>
      </w:r>
    </w:p>
    <w:p>
      <w:pPr>
        <w:spacing w:line="580" w:lineRule="exact"/>
      </w:pPr>
      <w:r>
        <w:rPr>
          <w:szCs w:val="32"/>
        </w:rPr>
        <w:t>　　提高水资源利用效率，提高新型城镇化建设水平。</w:t>
      </w:r>
    </w:p>
    <w:p>
      <w:pPr>
        <w:spacing w:line="580" w:lineRule="exact"/>
        <w:ind w:firstLine="640" w:firstLineChars="200"/>
        <w:outlineLvl w:val="1"/>
        <w:rPr>
          <w:rFonts w:eastAsia="黑体"/>
          <w:szCs w:val="32"/>
        </w:rPr>
      </w:pPr>
      <w:bookmarkStart w:id="749" w:name="_Toc27278"/>
      <w:r>
        <w:rPr>
          <w:rFonts w:eastAsia="黑体"/>
          <w:szCs w:val="32"/>
        </w:rPr>
        <w:t>五、城市集中供热项目</w:t>
      </w:r>
      <w:bookmarkEnd w:id="749"/>
    </w:p>
    <w:p>
      <w:pPr>
        <w:spacing w:line="580" w:lineRule="exact"/>
        <w:ind w:firstLine="640" w:firstLineChars="200"/>
        <w:rPr>
          <w:szCs w:val="32"/>
        </w:rPr>
      </w:pPr>
      <w:r>
        <w:rPr>
          <w:szCs w:val="32"/>
        </w:rPr>
        <w:t>1.建设单位</w:t>
      </w:r>
    </w:p>
    <w:p>
      <w:pPr>
        <w:pStyle w:val="2"/>
        <w:widowControl w:val="0"/>
        <w:spacing w:before="0" w:after="0" w:line="58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××县（区）住建局</w:t>
      </w:r>
    </w:p>
    <w:p>
      <w:pPr>
        <w:spacing w:line="580" w:lineRule="exact"/>
        <w:rPr>
          <w:rFonts w:eastAsia="黑体"/>
          <w:szCs w:val="32"/>
        </w:rPr>
      </w:pPr>
      <w:r>
        <w:rPr>
          <w:rFonts w:eastAsia="黑体"/>
          <w:szCs w:val="32"/>
        </w:rPr>
        <w:t xml:space="preserve">   </w:t>
      </w:r>
      <w:r>
        <w:rPr>
          <w:szCs w:val="32"/>
        </w:rPr>
        <w:t xml:space="preserve"> 2.主要建设内容或规模</w:t>
      </w:r>
    </w:p>
    <w:p>
      <w:pPr>
        <w:spacing w:line="580" w:lineRule="exact"/>
        <w:ind w:firstLine="640"/>
        <w:rPr>
          <w:szCs w:val="32"/>
        </w:rPr>
      </w:pPr>
      <w:r>
        <w:rPr>
          <w:szCs w:val="32"/>
        </w:rPr>
        <w:t>城市集中供热系统集中供热系统主要包括热源、热网和用户三个部分。</w:t>
      </w:r>
    </w:p>
    <w:p>
      <w:pPr>
        <w:spacing w:line="580" w:lineRule="exact"/>
        <w:ind w:firstLine="640"/>
        <w:rPr>
          <w:szCs w:val="32"/>
        </w:rPr>
      </w:pPr>
      <w:r>
        <w:rPr>
          <w:szCs w:val="32"/>
        </w:rPr>
        <w:t>（1）集中供热热源主要是热电站或区域锅炉房。热电站或区域锅炉房主要以煤或天然气为燃料，可利用工业余热作集中供热的热源。</w:t>
      </w:r>
    </w:p>
    <w:p>
      <w:pPr>
        <w:spacing w:line="580" w:lineRule="exact"/>
        <w:ind w:firstLine="640"/>
        <w:rPr>
          <w:szCs w:val="32"/>
        </w:rPr>
      </w:pPr>
      <w:r>
        <w:rPr>
          <w:szCs w:val="32"/>
        </w:rPr>
        <w:t>（2）集中供热管网根据所输送供热介质的不同，可分为热水热网和蒸汽热网；按照线路上平行敷设管子数的不同，可分为单管、双管和多管系统；按照热水热网的是否直接耗用其中水量，可分为开式和闭式系统。</w:t>
      </w:r>
    </w:p>
    <w:p>
      <w:pPr>
        <w:spacing w:line="580" w:lineRule="exact"/>
        <w:rPr>
          <w:rFonts w:eastAsia="黑体"/>
          <w:szCs w:val="32"/>
        </w:rPr>
      </w:pPr>
      <w:r>
        <w:rPr>
          <w:rFonts w:eastAsia="黑体"/>
          <w:szCs w:val="32"/>
        </w:rPr>
        <w:t xml:space="preserve">   </w:t>
      </w:r>
      <w:r>
        <w:rPr>
          <w:szCs w:val="32"/>
        </w:rPr>
        <w:t xml:space="preserve"> 3.实施年限</w:t>
      </w:r>
    </w:p>
    <w:p>
      <w:pPr>
        <w:spacing w:line="580" w:lineRule="exact"/>
        <w:ind w:firstLine="640"/>
        <w:rPr>
          <w:szCs w:val="32"/>
        </w:rPr>
      </w:pPr>
      <w:r>
        <w:rPr>
          <w:szCs w:val="32"/>
        </w:rPr>
        <w:t>建设期控制在1-2年为宜</w:t>
      </w:r>
    </w:p>
    <w:p>
      <w:pPr>
        <w:spacing w:line="580" w:lineRule="exact"/>
        <w:rPr>
          <w:szCs w:val="32"/>
        </w:rPr>
      </w:pPr>
      <w:r>
        <w:rPr>
          <w:szCs w:val="32"/>
        </w:rPr>
        <w:t xml:space="preserve">    4.估算投资</w:t>
      </w:r>
    </w:p>
    <w:p>
      <w:pPr>
        <w:spacing w:line="580" w:lineRule="exact"/>
        <w:rPr>
          <w:szCs w:val="32"/>
        </w:rPr>
      </w:pPr>
      <w:r>
        <w:rPr>
          <w:szCs w:val="32"/>
        </w:rPr>
        <w:t xml:space="preserve">    单个项目总投资控制在10亿元以内。工程体量大的项目可采取一次性规划，分期实施，单个立项的方式分批次建设。</w:t>
      </w:r>
    </w:p>
    <w:p>
      <w:pPr>
        <w:spacing w:line="580" w:lineRule="exact"/>
        <w:rPr>
          <w:szCs w:val="32"/>
        </w:rPr>
      </w:pPr>
      <w:r>
        <w:rPr>
          <w:szCs w:val="32"/>
        </w:rPr>
        <w:t xml:space="preserve">    5.资金来源初步方案</w:t>
      </w:r>
    </w:p>
    <w:p>
      <w:pPr>
        <w:spacing w:line="580" w:lineRule="exact"/>
        <w:ind w:firstLine="640"/>
        <w:rPr>
          <w:szCs w:val="32"/>
          <w:shd w:val="clear" w:color="auto" w:fill="FFFFFF"/>
        </w:rPr>
      </w:pPr>
      <w:r>
        <w:rPr>
          <w:szCs w:val="32"/>
        </w:rPr>
        <w:t>政府投资+</w:t>
      </w:r>
      <w:r>
        <w:rPr>
          <w:szCs w:val="32"/>
          <w:shd w:val="clear" w:color="auto" w:fill="FFFFFF"/>
        </w:rPr>
        <w:t>社会资本</w:t>
      </w:r>
    </w:p>
    <w:p>
      <w:pPr>
        <w:spacing w:line="580" w:lineRule="exact"/>
        <w:rPr>
          <w:szCs w:val="32"/>
        </w:rPr>
      </w:pPr>
      <w:r>
        <w:rPr>
          <w:color w:val="FF0000"/>
          <w:szCs w:val="32"/>
        </w:rPr>
        <w:t xml:space="preserve">   </w:t>
      </w:r>
      <w:r>
        <w:rPr>
          <w:szCs w:val="32"/>
        </w:rPr>
        <w:t xml:space="preserve"> 6.经济社会效益</w:t>
      </w:r>
    </w:p>
    <w:p>
      <w:pPr>
        <w:spacing w:line="580" w:lineRule="exact"/>
      </w:pPr>
      <w:r>
        <w:rPr>
          <w:szCs w:val="32"/>
        </w:rPr>
        <w:t>　　为城镇居民提供稳定、可靠的高品位热源，节约能源，减少城市污染，改善人民群众生活。</w:t>
      </w:r>
    </w:p>
    <w:p>
      <w:pPr>
        <w:spacing w:line="580" w:lineRule="exact"/>
        <w:outlineLvl w:val="1"/>
        <w:rPr>
          <w:b/>
          <w:bCs/>
          <w:szCs w:val="32"/>
        </w:rPr>
      </w:pPr>
      <w:r>
        <w:rPr>
          <w:b/>
          <w:bCs/>
          <w:szCs w:val="32"/>
        </w:rPr>
        <w:t xml:space="preserve">   </w:t>
      </w:r>
      <w:r>
        <w:rPr>
          <w:rFonts w:eastAsia="黑体"/>
          <w:szCs w:val="32"/>
        </w:rPr>
        <w:t xml:space="preserve"> </w:t>
      </w:r>
      <w:bookmarkStart w:id="750" w:name="_Toc7010"/>
      <w:r>
        <w:rPr>
          <w:rFonts w:eastAsia="黑体"/>
          <w:szCs w:val="32"/>
        </w:rPr>
        <w:t>六、城市道路建设项目</w:t>
      </w:r>
      <w:bookmarkEnd w:id="750"/>
    </w:p>
    <w:p>
      <w:pPr>
        <w:spacing w:line="580" w:lineRule="exact"/>
        <w:ind w:firstLine="640" w:firstLineChars="200"/>
        <w:rPr>
          <w:szCs w:val="32"/>
        </w:rPr>
      </w:pPr>
      <w:r>
        <w:rPr>
          <w:szCs w:val="32"/>
        </w:rPr>
        <w:t>1.建设单位</w:t>
      </w:r>
    </w:p>
    <w:p>
      <w:pPr>
        <w:pStyle w:val="2"/>
        <w:widowControl w:val="0"/>
        <w:spacing w:before="0" w:after="0" w:line="58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××县（区）住建局</w:t>
      </w:r>
    </w:p>
    <w:p>
      <w:pPr>
        <w:spacing w:line="580" w:lineRule="exact"/>
        <w:ind w:firstLine="640"/>
        <w:rPr>
          <w:szCs w:val="32"/>
        </w:rPr>
      </w:pPr>
      <w:r>
        <w:rPr>
          <w:szCs w:val="32"/>
        </w:rPr>
        <w:t>2.主要建设内容或规模</w:t>
      </w:r>
    </w:p>
    <w:p>
      <w:pPr>
        <w:spacing w:line="580" w:lineRule="exact"/>
        <w:ind w:firstLine="640"/>
        <w:rPr>
          <w:szCs w:val="32"/>
        </w:rPr>
      </w:pPr>
      <w:r>
        <w:rPr>
          <w:szCs w:val="32"/>
        </w:rPr>
        <w:t>主要包括城市交通工程。道路、立交等交通设施。</w:t>
      </w:r>
    </w:p>
    <w:p>
      <w:pPr>
        <w:spacing w:line="580" w:lineRule="exact"/>
        <w:rPr>
          <w:rFonts w:eastAsia="黑体"/>
          <w:szCs w:val="32"/>
        </w:rPr>
      </w:pPr>
      <w:r>
        <w:rPr>
          <w:rFonts w:eastAsia="黑体"/>
          <w:szCs w:val="32"/>
        </w:rPr>
        <w:t xml:space="preserve">   </w:t>
      </w:r>
      <w:r>
        <w:rPr>
          <w:szCs w:val="32"/>
        </w:rPr>
        <w:t xml:space="preserve"> 3.实施年限</w:t>
      </w:r>
    </w:p>
    <w:p>
      <w:pPr>
        <w:spacing w:line="580" w:lineRule="exact"/>
        <w:ind w:firstLine="640"/>
        <w:rPr>
          <w:szCs w:val="32"/>
        </w:rPr>
      </w:pPr>
      <w:r>
        <w:rPr>
          <w:szCs w:val="32"/>
        </w:rPr>
        <w:t>建设期控制在1-2年为宜。</w:t>
      </w:r>
    </w:p>
    <w:p>
      <w:pPr>
        <w:spacing w:line="580" w:lineRule="exact"/>
        <w:rPr>
          <w:szCs w:val="32"/>
        </w:rPr>
      </w:pPr>
      <w:r>
        <w:rPr>
          <w:szCs w:val="32"/>
        </w:rPr>
        <w:t xml:space="preserve">    4.估算投资</w:t>
      </w:r>
    </w:p>
    <w:p>
      <w:pPr>
        <w:spacing w:line="580" w:lineRule="exact"/>
        <w:rPr>
          <w:szCs w:val="32"/>
        </w:rPr>
      </w:pPr>
      <w:r>
        <w:rPr>
          <w:szCs w:val="32"/>
        </w:rPr>
        <w:t xml:space="preserve">    单个项目总投资控制在5亿元以内。工程体量大的项目可采取一次性规划，分期实施，单个立项的方式分批次建设。</w:t>
      </w:r>
    </w:p>
    <w:p>
      <w:pPr>
        <w:spacing w:line="580" w:lineRule="exact"/>
        <w:rPr>
          <w:szCs w:val="32"/>
        </w:rPr>
      </w:pPr>
      <w:r>
        <w:rPr>
          <w:szCs w:val="32"/>
        </w:rPr>
        <w:t xml:space="preserve">    5.资金来源初步方案</w:t>
      </w:r>
    </w:p>
    <w:p>
      <w:pPr>
        <w:spacing w:line="580" w:lineRule="exact"/>
        <w:ind w:firstLine="640"/>
        <w:rPr>
          <w:szCs w:val="32"/>
          <w:shd w:val="clear" w:color="auto" w:fill="FFFFFF"/>
        </w:rPr>
      </w:pPr>
      <w:r>
        <w:rPr>
          <w:szCs w:val="32"/>
        </w:rPr>
        <w:t>以政府投资为主</w:t>
      </w:r>
      <w:r>
        <w:rPr>
          <w:szCs w:val="32"/>
          <w:shd w:val="clear" w:color="auto" w:fill="FFFFFF"/>
        </w:rPr>
        <w:t>。</w:t>
      </w:r>
    </w:p>
    <w:p>
      <w:pPr>
        <w:spacing w:line="580" w:lineRule="exact"/>
        <w:rPr>
          <w:szCs w:val="32"/>
        </w:rPr>
      </w:pPr>
      <w:r>
        <w:t xml:space="preserve">　  </w:t>
      </w:r>
      <w:r>
        <w:rPr>
          <w:szCs w:val="32"/>
        </w:rPr>
        <w:t>6.经济社会效益</w:t>
      </w:r>
    </w:p>
    <w:p>
      <w:pPr>
        <w:spacing w:line="580" w:lineRule="exact"/>
      </w:pPr>
      <w:r>
        <w:rPr>
          <w:szCs w:val="32"/>
        </w:rPr>
        <w:t>　　优化城市路网结构，提高道路通行能力，提升人民群众生活品质。</w:t>
      </w:r>
    </w:p>
    <w:p>
      <w:pPr>
        <w:spacing w:line="580" w:lineRule="exact"/>
        <w:ind w:firstLine="640" w:firstLineChars="200"/>
        <w:outlineLvl w:val="1"/>
        <w:rPr>
          <w:rFonts w:eastAsia="黑体"/>
          <w:szCs w:val="32"/>
        </w:rPr>
      </w:pPr>
      <w:bookmarkStart w:id="751" w:name="_Toc26154"/>
      <w:r>
        <w:rPr>
          <w:rFonts w:eastAsia="黑体"/>
          <w:szCs w:val="32"/>
        </w:rPr>
        <w:t>七、城市历史文化街区改造保护项目</w:t>
      </w:r>
      <w:bookmarkEnd w:id="751"/>
    </w:p>
    <w:p>
      <w:pPr>
        <w:spacing w:line="580" w:lineRule="exact"/>
        <w:ind w:firstLine="640" w:firstLineChars="200"/>
        <w:rPr>
          <w:szCs w:val="32"/>
        </w:rPr>
      </w:pPr>
      <w:r>
        <w:rPr>
          <w:szCs w:val="32"/>
        </w:rPr>
        <w:t>1.建设单位</w:t>
      </w:r>
    </w:p>
    <w:p>
      <w:pPr>
        <w:pStyle w:val="2"/>
        <w:widowControl w:val="0"/>
        <w:spacing w:before="0" w:after="0" w:line="58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××县（区）住建局</w:t>
      </w:r>
    </w:p>
    <w:p>
      <w:pPr>
        <w:spacing w:line="580" w:lineRule="exact"/>
        <w:rPr>
          <w:rFonts w:eastAsia="黑体"/>
          <w:szCs w:val="32"/>
        </w:rPr>
      </w:pPr>
      <w:r>
        <w:rPr>
          <w:rFonts w:eastAsia="黑体"/>
          <w:szCs w:val="32"/>
        </w:rPr>
        <w:t xml:space="preserve">   </w:t>
      </w:r>
      <w:r>
        <w:rPr>
          <w:szCs w:val="32"/>
        </w:rPr>
        <w:t xml:space="preserve"> 2.主要建设内容或规模</w:t>
      </w:r>
    </w:p>
    <w:p>
      <w:pPr>
        <w:spacing w:line="580" w:lineRule="exact"/>
        <w:rPr>
          <w:szCs w:val="32"/>
        </w:rPr>
      </w:pPr>
      <w:r>
        <w:rPr>
          <w:szCs w:val="32"/>
        </w:rPr>
        <w:t xml:space="preserve">  包括历史建筑物、构筑物和风貌环境所组成的核心地段，以及为确保该地段的风貌、特色完整性而必须进行的地区。</w:t>
      </w:r>
    </w:p>
    <w:p>
      <w:pPr>
        <w:spacing w:line="580" w:lineRule="exact"/>
        <w:rPr>
          <w:rFonts w:eastAsia="黑体"/>
          <w:szCs w:val="32"/>
        </w:rPr>
      </w:pPr>
      <w:r>
        <w:rPr>
          <w:rFonts w:eastAsia="黑体"/>
          <w:szCs w:val="32"/>
        </w:rPr>
        <w:t xml:space="preserve">   </w:t>
      </w:r>
      <w:r>
        <w:rPr>
          <w:szCs w:val="32"/>
        </w:rPr>
        <w:t xml:space="preserve"> 3.实施年限</w:t>
      </w:r>
    </w:p>
    <w:p>
      <w:pPr>
        <w:spacing w:line="580" w:lineRule="exact"/>
        <w:ind w:firstLine="640"/>
        <w:rPr>
          <w:szCs w:val="32"/>
        </w:rPr>
      </w:pPr>
      <w:r>
        <w:rPr>
          <w:szCs w:val="32"/>
        </w:rPr>
        <w:t>建设期控制在1-2年为宜。</w:t>
      </w:r>
    </w:p>
    <w:p>
      <w:pPr>
        <w:spacing w:line="580" w:lineRule="exact"/>
        <w:rPr>
          <w:szCs w:val="32"/>
        </w:rPr>
      </w:pPr>
      <w:r>
        <w:rPr>
          <w:szCs w:val="32"/>
        </w:rPr>
        <w:t xml:space="preserve">    4.估算投资</w:t>
      </w:r>
    </w:p>
    <w:p>
      <w:pPr>
        <w:spacing w:line="580" w:lineRule="exact"/>
        <w:rPr>
          <w:szCs w:val="32"/>
        </w:rPr>
      </w:pPr>
      <w:r>
        <w:rPr>
          <w:szCs w:val="32"/>
        </w:rPr>
        <w:t xml:space="preserve">    单个项目总投资控制在2亿元以内。工程体量大的项目可采取一次性规划，分期实施，单个立项的方式分批次建设。</w:t>
      </w:r>
    </w:p>
    <w:p>
      <w:pPr>
        <w:spacing w:line="580" w:lineRule="exact"/>
        <w:rPr>
          <w:szCs w:val="32"/>
        </w:rPr>
      </w:pPr>
      <w:r>
        <w:rPr>
          <w:szCs w:val="32"/>
        </w:rPr>
        <w:t xml:space="preserve">    5.资金来源初步方案</w:t>
      </w:r>
    </w:p>
    <w:p>
      <w:pPr>
        <w:spacing w:line="580" w:lineRule="exact"/>
        <w:ind w:firstLine="640"/>
        <w:rPr>
          <w:szCs w:val="32"/>
          <w:shd w:val="clear" w:color="auto" w:fill="FFFFFF"/>
        </w:rPr>
      </w:pPr>
      <w:r>
        <w:rPr>
          <w:szCs w:val="32"/>
        </w:rPr>
        <w:t>政府投资+</w:t>
      </w:r>
      <w:r>
        <w:rPr>
          <w:szCs w:val="32"/>
          <w:shd w:val="clear" w:color="auto" w:fill="FFFFFF"/>
        </w:rPr>
        <w:t>社会资本。</w:t>
      </w:r>
    </w:p>
    <w:p>
      <w:pPr>
        <w:spacing w:line="580" w:lineRule="exact"/>
        <w:rPr>
          <w:szCs w:val="32"/>
        </w:rPr>
      </w:pPr>
      <w:r>
        <w:rPr>
          <w:color w:val="FF0000"/>
          <w:szCs w:val="32"/>
        </w:rPr>
        <w:t xml:space="preserve">  </w:t>
      </w:r>
      <w:r>
        <w:rPr>
          <w:szCs w:val="32"/>
        </w:rPr>
        <w:t xml:space="preserve">  6.经济社会效益</w:t>
      </w:r>
    </w:p>
    <w:p>
      <w:pPr>
        <w:spacing w:line="580" w:lineRule="exact"/>
      </w:pPr>
      <w:r>
        <w:rPr>
          <w:szCs w:val="32"/>
        </w:rPr>
        <w:t>　　保护历史文化街区整体风貌，维护社区传统，改善生活环境，促进地区经济活力。</w:t>
      </w:r>
    </w:p>
    <w:p>
      <w:pPr>
        <w:spacing w:line="580" w:lineRule="exact"/>
        <w:outlineLvl w:val="1"/>
        <w:rPr>
          <w:b/>
          <w:bCs/>
          <w:szCs w:val="32"/>
        </w:rPr>
      </w:pPr>
      <w:r>
        <w:rPr>
          <w:b/>
          <w:bCs/>
          <w:szCs w:val="32"/>
        </w:rPr>
        <w:t xml:space="preserve">    </w:t>
      </w:r>
      <w:bookmarkStart w:id="752" w:name="_Toc28275"/>
      <w:r>
        <w:rPr>
          <w:rFonts w:eastAsia="黑体"/>
          <w:szCs w:val="32"/>
        </w:rPr>
        <w:t>八、城市步行街改造项目</w:t>
      </w:r>
      <w:bookmarkEnd w:id="752"/>
    </w:p>
    <w:p>
      <w:pPr>
        <w:spacing w:line="580" w:lineRule="exact"/>
        <w:ind w:firstLine="640" w:firstLineChars="200"/>
        <w:rPr>
          <w:szCs w:val="32"/>
        </w:rPr>
      </w:pPr>
      <w:r>
        <w:rPr>
          <w:szCs w:val="32"/>
        </w:rPr>
        <w:t>1.建设单位</w:t>
      </w:r>
    </w:p>
    <w:p>
      <w:pPr>
        <w:pStyle w:val="2"/>
        <w:widowControl w:val="0"/>
        <w:spacing w:before="0" w:after="0" w:line="58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××县（区）住建局</w:t>
      </w:r>
    </w:p>
    <w:p>
      <w:pPr>
        <w:spacing w:line="580" w:lineRule="exact"/>
        <w:rPr>
          <w:rFonts w:eastAsia="黑体"/>
          <w:szCs w:val="32"/>
        </w:rPr>
      </w:pPr>
      <w:r>
        <w:rPr>
          <w:rFonts w:eastAsia="黑体"/>
          <w:szCs w:val="32"/>
        </w:rPr>
        <w:t xml:space="preserve">   </w:t>
      </w:r>
      <w:r>
        <w:rPr>
          <w:szCs w:val="32"/>
        </w:rPr>
        <w:t xml:space="preserve"> 2.主要建设内容或规模</w:t>
      </w:r>
    </w:p>
    <w:p>
      <w:pPr>
        <w:spacing w:line="580" w:lineRule="exact"/>
        <w:rPr>
          <w:szCs w:val="32"/>
        </w:rPr>
      </w:pPr>
      <w:r>
        <w:rPr>
          <w:szCs w:val="32"/>
        </w:rPr>
        <w:t xml:space="preserve">   聚焦业态、品牌、功能等方面，丰富步行街业态结构，提升购物、餐饮等传统业态，布局体验式、互动式新兴业态，增强休闲娱乐功能，更好满足个性化、多元化消费需求。围绕交通路网、立面地面、设施设备、绿化亮化等要素，加强街区环境改造整治。优化周边路网和交通设施，提升道路慢行系统，延续老街区建筑风格和文化脉络，提高立面、地面等环境卫生标准，增加绿地、休闲空间和设备设施，打造美观舒适、富有特色、便利安全的街区风貌和步行环境。</w:t>
      </w:r>
    </w:p>
    <w:p>
      <w:pPr>
        <w:spacing w:line="580" w:lineRule="exact"/>
        <w:rPr>
          <w:rFonts w:eastAsia="黑体"/>
          <w:szCs w:val="32"/>
        </w:rPr>
      </w:pPr>
      <w:r>
        <w:rPr>
          <w:rFonts w:eastAsia="黑体"/>
          <w:szCs w:val="32"/>
        </w:rPr>
        <w:t xml:space="preserve">   </w:t>
      </w:r>
      <w:r>
        <w:rPr>
          <w:szCs w:val="32"/>
        </w:rPr>
        <w:t xml:space="preserve"> 3.实施年限</w:t>
      </w:r>
    </w:p>
    <w:p>
      <w:pPr>
        <w:spacing w:line="580" w:lineRule="exact"/>
        <w:ind w:firstLine="640"/>
        <w:rPr>
          <w:szCs w:val="32"/>
        </w:rPr>
      </w:pPr>
      <w:r>
        <w:rPr>
          <w:szCs w:val="32"/>
        </w:rPr>
        <w:t>建设期控制在1-2年为宜。</w:t>
      </w:r>
    </w:p>
    <w:p>
      <w:pPr>
        <w:spacing w:line="580" w:lineRule="exact"/>
        <w:rPr>
          <w:szCs w:val="32"/>
        </w:rPr>
      </w:pPr>
      <w:r>
        <w:rPr>
          <w:szCs w:val="32"/>
        </w:rPr>
        <w:t xml:space="preserve">    4.估算投资</w:t>
      </w:r>
    </w:p>
    <w:p>
      <w:pPr>
        <w:spacing w:line="580" w:lineRule="exact"/>
        <w:rPr>
          <w:szCs w:val="32"/>
        </w:rPr>
      </w:pPr>
      <w:r>
        <w:rPr>
          <w:szCs w:val="32"/>
        </w:rPr>
        <w:t xml:space="preserve">    单个项目总投资控制在3亿元以内。工程体量大的项目可采取一次性规划，分期实施，单个立项的方式分批次建设。</w:t>
      </w:r>
    </w:p>
    <w:p>
      <w:pPr>
        <w:spacing w:line="580" w:lineRule="exact"/>
        <w:rPr>
          <w:szCs w:val="32"/>
        </w:rPr>
      </w:pPr>
      <w:r>
        <w:rPr>
          <w:szCs w:val="32"/>
        </w:rPr>
        <w:t xml:space="preserve">    5.资金来源初步方案</w:t>
      </w:r>
    </w:p>
    <w:p>
      <w:pPr>
        <w:spacing w:line="580" w:lineRule="exact"/>
        <w:ind w:firstLine="640"/>
        <w:rPr>
          <w:szCs w:val="32"/>
          <w:shd w:val="clear" w:color="auto" w:fill="FFFFFF"/>
        </w:rPr>
      </w:pPr>
      <w:r>
        <w:rPr>
          <w:szCs w:val="32"/>
        </w:rPr>
        <w:t>政府投资+</w:t>
      </w:r>
      <w:r>
        <w:rPr>
          <w:szCs w:val="32"/>
          <w:shd w:val="clear" w:color="auto" w:fill="FFFFFF"/>
        </w:rPr>
        <w:t>社会资本。</w:t>
      </w:r>
    </w:p>
    <w:p>
      <w:pPr>
        <w:spacing w:line="580" w:lineRule="exact"/>
        <w:rPr>
          <w:szCs w:val="32"/>
        </w:rPr>
      </w:pPr>
      <w:r>
        <w:rPr>
          <w:color w:val="FF0000"/>
          <w:szCs w:val="32"/>
        </w:rPr>
        <w:t xml:space="preserve">   </w:t>
      </w:r>
      <w:r>
        <w:rPr>
          <w:szCs w:val="32"/>
        </w:rPr>
        <w:t xml:space="preserve"> 6.经济社会效益</w:t>
      </w:r>
    </w:p>
    <w:p>
      <w:pPr>
        <w:spacing w:line="580" w:lineRule="exact"/>
      </w:pPr>
      <w:r>
        <w:rPr>
          <w:szCs w:val="32"/>
        </w:rPr>
        <w:t>　　优化城市步行街街区环境，彰显城市特色，提高服务产品供给质量，增强消费吸引力，带动地区商业发展，满足人民群众日益增长的消费需求。</w:t>
      </w:r>
    </w:p>
    <w:p>
      <w:pPr>
        <w:spacing w:line="580" w:lineRule="exact"/>
        <w:outlineLvl w:val="1"/>
        <w:rPr>
          <w:rFonts w:eastAsia="黑体"/>
          <w:szCs w:val="32"/>
        </w:rPr>
      </w:pPr>
      <w:r>
        <w:rPr>
          <w:rFonts w:eastAsia="黑体"/>
          <w:szCs w:val="32"/>
        </w:rPr>
        <w:t>　　</w:t>
      </w:r>
      <w:bookmarkStart w:id="753" w:name="_Toc4660"/>
      <w:bookmarkStart w:id="754" w:name="_Toc23146"/>
      <w:r>
        <w:rPr>
          <w:rFonts w:eastAsia="黑体"/>
          <w:szCs w:val="32"/>
        </w:rPr>
        <w:t>九、城市公共供水管网漏损控制储备项目</w:t>
      </w:r>
      <w:bookmarkEnd w:id="753"/>
      <w:bookmarkEnd w:id="754"/>
    </w:p>
    <w:p>
      <w:pPr>
        <w:spacing w:line="580" w:lineRule="exact"/>
        <w:rPr>
          <w:szCs w:val="32"/>
        </w:rPr>
      </w:pPr>
      <w:r>
        <w:rPr>
          <w:szCs w:val="32"/>
        </w:rPr>
        <w:t>　　1.建设单位</w:t>
      </w:r>
    </w:p>
    <w:p>
      <w:pPr>
        <w:spacing w:line="580" w:lineRule="exact"/>
        <w:rPr>
          <w:szCs w:val="32"/>
        </w:rPr>
      </w:pPr>
      <w:r>
        <w:rPr>
          <w:szCs w:val="32"/>
        </w:rPr>
        <w:t xml:space="preserve">    ××县（区）住建局</w:t>
      </w:r>
    </w:p>
    <w:p>
      <w:pPr>
        <w:spacing w:line="580" w:lineRule="exact"/>
        <w:rPr>
          <w:szCs w:val="32"/>
        </w:rPr>
      </w:pPr>
      <w:r>
        <w:rPr>
          <w:szCs w:val="32"/>
        </w:rPr>
        <w:t xml:space="preserve">    2.主要建设内容或规模</w:t>
      </w:r>
    </w:p>
    <w:p>
      <w:pPr>
        <w:spacing w:line="580" w:lineRule="exact"/>
        <w:rPr>
          <w:szCs w:val="32"/>
        </w:rPr>
      </w:pPr>
      <w:r>
        <w:rPr>
          <w:szCs w:val="32"/>
        </w:rPr>
        <w:t xml:space="preserve">    城市公共供水管网漏损控制储备项目主要包括老旧供水管网改造项目、分区计量项目、供水管网压力优化调控项目、老旧二次供水设施改造项目。</w:t>
      </w:r>
    </w:p>
    <w:p>
      <w:pPr>
        <w:spacing w:line="580" w:lineRule="exact"/>
        <w:rPr>
          <w:szCs w:val="32"/>
        </w:rPr>
      </w:pPr>
      <w:r>
        <w:rPr>
          <w:szCs w:val="32"/>
        </w:rPr>
        <w:t>　　老旧供水管网改造项目：主要包括改造年久失修的输水主管、支管、控制阀井、水表等设备工程。</w:t>
      </w:r>
    </w:p>
    <w:p>
      <w:pPr>
        <w:spacing w:line="580" w:lineRule="exact"/>
        <w:rPr>
          <w:szCs w:val="32"/>
        </w:rPr>
      </w:pPr>
      <w:r>
        <w:rPr>
          <w:szCs w:val="32"/>
        </w:rPr>
        <w:t>　　分区计量项目：主要包括改造或新增计量表、计量室等设备，以及对分区计量监管平台进行必要升级、维护等工程。</w:t>
      </w:r>
    </w:p>
    <w:p>
      <w:pPr>
        <w:spacing w:line="580" w:lineRule="exact"/>
        <w:rPr>
          <w:szCs w:val="32"/>
        </w:rPr>
      </w:pPr>
      <w:r>
        <w:rPr>
          <w:szCs w:val="32"/>
        </w:rPr>
        <w:t>　　供水管网压力优化调控项目：主要包括改造或新增压力、流量监测及调控设备，及配套硬件设施工程。</w:t>
      </w:r>
    </w:p>
    <w:p>
      <w:pPr>
        <w:spacing w:line="580" w:lineRule="exact"/>
        <w:rPr>
          <w:szCs w:val="32"/>
        </w:rPr>
      </w:pPr>
      <w:r>
        <w:rPr>
          <w:szCs w:val="32"/>
        </w:rPr>
        <w:t>　　老旧二次供水设施改造项目：主要包括对涉及老旧二次供水的泵房、水泵、水箱、阀门、户表等进行改造工程。</w:t>
      </w:r>
    </w:p>
    <w:p>
      <w:pPr>
        <w:spacing w:line="580" w:lineRule="exact"/>
        <w:rPr>
          <w:szCs w:val="32"/>
        </w:rPr>
      </w:pPr>
      <w:r>
        <w:rPr>
          <w:szCs w:val="32"/>
        </w:rPr>
        <w:t xml:space="preserve">    3.建设性质</w:t>
      </w:r>
    </w:p>
    <w:p>
      <w:pPr>
        <w:spacing w:line="580" w:lineRule="exact"/>
        <w:rPr>
          <w:szCs w:val="32"/>
        </w:rPr>
      </w:pPr>
      <w:r>
        <w:rPr>
          <w:szCs w:val="32"/>
        </w:rPr>
        <w:t>　　新建、续建、改扩建。</w:t>
      </w:r>
    </w:p>
    <w:p>
      <w:pPr>
        <w:spacing w:line="580" w:lineRule="exact"/>
        <w:rPr>
          <w:szCs w:val="32"/>
        </w:rPr>
      </w:pPr>
      <w:r>
        <w:rPr>
          <w:szCs w:val="32"/>
        </w:rPr>
        <w:t xml:space="preserve">    4.实施年限</w:t>
      </w:r>
    </w:p>
    <w:p>
      <w:pPr>
        <w:spacing w:line="580" w:lineRule="exact"/>
        <w:rPr>
          <w:szCs w:val="32"/>
        </w:rPr>
      </w:pPr>
      <w:r>
        <w:rPr>
          <w:szCs w:val="32"/>
        </w:rPr>
        <w:t>　　建设期控制在1-2年为宜。</w:t>
      </w:r>
    </w:p>
    <w:p>
      <w:pPr>
        <w:spacing w:line="580" w:lineRule="exact"/>
        <w:rPr>
          <w:szCs w:val="32"/>
        </w:rPr>
      </w:pPr>
      <w:r>
        <w:rPr>
          <w:szCs w:val="32"/>
        </w:rPr>
        <w:t xml:space="preserve">    5.估算投资</w:t>
      </w:r>
    </w:p>
    <w:p>
      <w:pPr>
        <w:spacing w:line="580" w:lineRule="exact"/>
        <w:rPr>
          <w:szCs w:val="32"/>
        </w:rPr>
      </w:pPr>
      <w:r>
        <w:rPr>
          <w:szCs w:val="32"/>
        </w:rPr>
        <w:t xml:space="preserve">    单个项目总投资控制在1亿元以内为宜。工程体量大的项目可采取一次性规划，分期实施，单个立项的方式分批次建设。</w:t>
      </w:r>
    </w:p>
    <w:p>
      <w:pPr>
        <w:spacing w:line="580" w:lineRule="exact"/>
        <w:rPr>
          <w:szCs w:val="32"/>
        </w:rPr>
      </w:pPr>
      <w:r>
        <w:rPr>
          <w:szCs w:val="32"/>
        </w:rPr>
        <w:t xml:space="preserve">    6.资金来源初步方案</w:t>
      </w:r>
    </w:p>
    <w:p>
      <w:pPr>
        <w:spacing w:line="580" w:lineRule="exact"/>
        <w:rPr>
          <w:szCs w:val="32"/>
        </w:rPr>
      </w:pPr>
      <w:r>
        <w:rPr>
          <w:szCs w:val="32"/>
        </w:rPr>
        <w:t>　　政府投资+社会资本投资。</w:t>
      </w:r>
    </w:p>
    <w:p>
      <w:pPr>
        <w:spacing w:line="580" w:lineRule="exact"/>
        <w:rPr>
          <w:szCs w:val="32"/>
        </w:rPr>
      </w:pPr>
      <w:r>
        <w:rPr>
          <w:szCs w:val="32"/>
        </w:rPr>
        <w:t xml:space="preserve">    7.经济社会效益</w:t>
      </w:r>
    </w:p>
    <w:p>
      <w:pPr>
        <w:spacing w:line="580" w:lineRule="exact"/>
        <w:rPr>
          <w:szCs w:val="32"/>
        </w:rPr>
      </w:pPr>
      <w:r>
        <w:rPr>
          <w:szCs w:val="32"/>
        </w:rPr>
        <w:t>　　减少水资源浪费，提升城镇供水安全与公共安全。</w:t>
      </w:r>
    </w:p>
    <w:p>
      <w:pPr>
        <w:spacing w:line="580" w:lineRule="exact"/>
        <w:outlineLvl w:val="1"/>
        <w:rPr>
          <w:rFonts w:eastAsia="黑体"/>
          <w:szCs w:val="32"/>
        </w:rPr>
      </w:pPr>
      <w:r>
        <w:rPr>
          <w:rFonts w:eastAsia="黑体"/>
          <w:szCs w:val="32"/>
        </w:rPr>
        <w:t>　　</w:t>
      </w:r>
      <w:bookmarkStart w:id="755" w:name="_Toc27880"/>
      <w:bookmarkStart w:id="756" w:name="_Toc3074"/>
      <w:r>
        <w:rPr>
          <w:rFonts w:eastAsia="黑体"/>
          <w:szCs w:val="32"/>
        </w:rPr>
        <w:t>十、城市公园、绿地（应急避难场所建设）项目</w:t>
      </w:r>
      <w:bookmarkEnd w:id="755"/>
      <w:bookmarkEnd w:id="756"/>
    </w:p>
    <w:p>
      <w:pPr>
        <w:spacing w:line="580" w:lineRule="exact"/>
        <w:rPr>
          <w:szCs w:val="32"/>
        </w:rPr>
      </w:pPr>
      <w:r>
        <w:rPr>
          <w:szCs w:val="32"/>
        </w:rPr>
        <w:t>　　1.建设单位</w:t>
      </w:r>
    </w:p>
    <w:p>
      <w:pPr>
        <w:spacing w:line="580" w:lineRule="exact"/>
        <w:rPr>
          <w:szCs w:val="32"/>
        </w:rPr>
      </w:pPr>
      <w:r>
        <w:rPr>
          <w:szCs w:val="32"/>
        </w:rPr>
        <w:t xml:space="preserve">    ××县（区）住建局</w:t>
      </w:r>
    </w:p>
    <w:p>
      <w:pPr>
        <w:spacing w:line="580" w:lineRule="exact"/>
        <w:rPr>
          <w:szCs w:val="32"/>
        </w:rPr>
      </w:pPr>
      <w:r>
        <w:rPr>
          <w:szCs w:val="32"/>
        </w:rPr>
        <w:t xml:space="preserve">    2.主要建设内容或规模</w:t>
      </w:r>
    </w:p>
    <w:p>
      <w:pPr>
        <w:spacing w:line="580" w:lineRule="exact"/>
        <w:rPr>
          <w:szCs w:val="32"/>
        </w:rPr>
      </w:pPr>
      <w:r>
        <w:rPr>
          <w:szCs w:val="32"/>
        </w:rPr>
        <w:t>　　城市公园、绿地储备项目主要包括新建公园、绿地项目、公园、绿地生态修复项目，应急避难场所建设项目。</w:t>
      </w:r>
    </w:p>
    <w:p>
      <w:pPr>
        <w:spacing w:line="580" w:lineRule="exact"/>
        <w:rPr>
          <w:szCs w:val="32"/>
        </w:rPr>
      </w:pPr>
      <w:r>
        <w:rPr>
          <w:szCs w:val="32"/>
        </w:rPr>
        <w:t>新建公园、绿地项目：主要包括土方工程、园道铺装工程、乔木草坪移植（种植）工程、园区、绿地供排水工程等。</w:t>
      </w:r>
    </w:p>
    <w:p>
      <w:pPr>
        <w:spacing w:line="580" w:lineRule="exact"/>
        <w:rPr>
          <w:szCs w:val="32"/>
        </w:rPr>
      </w:pPr>
      <w:r>
        <w:rPr>
          <w:szCs w:val="32"/>
        </w:rPr>
        <w:t>　　公园、绿地生态修复项目：主要包括裸地补植、湿地建设修复、河道整治、河道淤泥清理等工程。</w:t>
      </w:r>
    </w:p>
    <w:p>
      <w:pPr>
        <w:spacing w:line="580" w:lineRule="exact"/>
        <w:rPr>
          <w:szCs w:val="32"/>
        </w:rPr>
      </w:pPr>
      <w:r>
        <w:rPr>
          <w:szCs w:val="32"/>
        </w:rPr>
        <w:t>　　应急避难场所建设项目：主要包括新建或改造城市公园、绿地等场所，完善水电及应急避难指示牌等设施，达到应急避难场所设置标准。</w:t>
      </w:r>
    </w:p>
    <w:p>
      <w:pPr>
        <w:spacing w:line="580" w:lineRule="exact"/>
        <w:rPr>
          <w:szCs w:val="32"/>
        </w:rPr>
      </w:pPr>
      <w:r>
        <w:rPr>
          <w:szCs w:val="32"/>
        </w:rPr>
        <w:t xml:space="preserve">    3.建设性质</w:t>
      </w:r>
    </w:p>
    <w:p>
      <w:pPr>
        <w:spacing w:line="580" w:lineRule="exact"/>
        <w:rPr>
          <w:szCs w:val="32"/>
        </w:rPr>
      </w:pPr>
      <w:r>
        <w:rPr>
          <w:szCs w:val="32"/>
        </w:rPr>
        <w:t>　　新建、续建、改扩建。</w:t>
      </w:r>
    </w:p>
    <w:p>
      <w:pPr>
        <w:spacing w:line="580" w:lineRule="exact"/>
        <w:rPr>
          <w:szCs w:val="32"/>
        </w:rPr>
      </w:pPr>
      <w:r>
        <w:rPr>
          <w:szCs w:val="32"/>
        </w:rPr>
        <w:t xml:space="preserve">    4.实施年限</w:t>
      </w:r>
    </w:p>
    <w:p>
      <w:pPr>
        <w:spacing w:line="580" w:lineRule="exact"/>
        <w:rPr>
          <w:szCs w:val="32"/>
        </w:rPr>
      </w:pPr>
      <w:r>
        <w:rPr>
          <w:szCs w:val="32"/>
        </w:rPr>
        <w:t>　　建设期控制在1-2年为宜。</w:t>
      </w:r>
    </w:p>
    <w:p>
      <w:pPr>
        <w:spacing w:line="580" w:lineRule="exact"/>
        <w:rPr>
          <w:szCs w:val="32"/>
        </w:rPr>
      </w:pPr>
      <w:r>
        <w:rPr>
          <w:szCs w:val="32"/>
        </w:rPr>
        <w:t xml:space="preserve">    5.估算投资</w:t>
      </w:r>
    </w:p>
    <w:p>
      <w:pPr>
        <w:spacing w:line="580" w:lineRule="exact"/>
        <w:rPr>
          <w:szCs w:val="32"/>
        </w:rPr>
      </w:pPr>
      <w:r>
        <w:rPr>
          <w:szCs w:val="32"/>
        </w:rPr>
        <w:t xml:space="preserve">    单个项目总投资控制在1亿元以内为宜。工程体量大的项目可采取一次性规划，分期实施，单个立项的方式分批次建设。</w:t>
      </w:r>
    </w:p>
    <w:p>
      <w:pPr>
        <w:spacing w:line="580" w:lineRule="exact"/>
        <w:rPr>
          <w:szCs w:val="32"/>
        </w:rPr>
      </w:pPr>
      <w:r>
        <w:rPr>
          <w:szCs w:val="32"/>
        </w:rPr>
        <w:t xml:space="preserve">    6.资金来源初步方案</w:t>
      </w:r>
    </w:p>
    <w:p>
      <w:pPr>
        <w:spacing w:line="580" w:lineRule="exact"/>
        <w:rPr>
          <w:szCs w:val="32"/>
        </w:rPr>
      </w:pPr>
      <w:r>
        <w:rPr>
          <w:szCs w:val="32"/>
        </w:rPr>
        <w:t>　　政府投资+社会资本投资。</w:t>
      </w:r>
    </w:p>
    <w:p>
      <w:pPr>
        <w:spacing w:line="580" w:lineRule="exact"/>
        <w:rPr>
          <w:szCs w:val="32"/>
        </w:rPr>
      </w:pPr>
      <w:r>
        <w:rPr>
          <w:szCs w:val="32"/>
        </w:rPr>
        <w:t xml:space="preserve">    7.经济社会效益</w:t>
      </w:r>
    </w:p>
    <w:p>
      <w:pPr>
        <w:spacing w:line="580" w:lineRule="exact"/>
        <w:rPr>
          <w:szCs w:val="32"/>
        </w:rPr>
      </w:pPr>
      <w:r>
        <w:rPr>
          <w:szCs w:val="32"/>
        </w:rPr>
        <w:t>　　促进城市生态文明建设，满足人民群众生活、娱乐、休闲、运动需求，并在突发自然灾害时，为人民群众提供应急避难场所，为保障人民群众生命财产安全创造条件。</w:t>
      </w:r>
    </w:p>
    <w:p>
      <w:pPr>
        <w:pStyle w:val="2"/>
        <w:widowControl w:val="0"/>
        <w:ind w:left="640" w:firstLine="440"/>
        <w:rPr>
          <w:rFonts w:ascii="Times New Roman" w:hAnsi="Times New Roman"/>
          <w:lang w:val="en-US" w:eastAsia="zh-CN"/>
        </w:rPr>
      </w:pPr>
    </w:p>
    <w:p>
      <w:pPr>
        <w:spacing w:line="600" w:lineRule="exact"/>
        <w:ind w:firstLine="642" w:firstLineChars="200"/>
        <w:rPr>
          <w:b/>
          <w:bCs/>
          <w:szCs w:val="32"/>
        </w:rPr>
      </w:pPr>
    </w:p>
    <w:p>
      <w:pPr>
        <w:pStyle w:val="2"/>
        <w:widowControl w:val="0"/>
        <w:spacing w:before="0" w:after="0" w:line="600" w:lineRule="exact"/>
        <w:ind w:left="0" w:leftChars="0" w:firstLine="0" w:firstLineChars="0"/>
        <w:jc w:val="both"/>
        <w:rPr>
          <w:rFonts w:ascii="Times New Roman" w:hAnsi="Times New Roman" w:eastAsia="仿宋_GB2312"/>
          <w:sz w:val="32"/>
          <w:szCs w:val="32"/>
          <w:shd w:val="clear" w:color="auto" w:fill="FFFFFF"/>
          <w:lang w:eastAsia="zh-CN"/>
        </w:rPr>
      </w:pPr>
    </w:p>
    <w:p>
      <w:pPr>
        <w:pStyle w:val="2"/>
        <w:widowControl w:val="0"/>
        <w:spacing w:before="0" w:after="0" w:line="600" w:lineRule="exact"/>
        <w:ind w:left="0" w:leftChars="0" w:firstLine="0" w:firstLineChars="0"/>
        <w:jc w:val="both"/>
        <w:rPr>
          <w:rFonts w:ascii="Times New Roman" w:hAnsi="Times New Roman" w:eastAsia="仿宋_GB2312"/>
          <w:sz w:val="32"/>
          <w:szCs w:val="32"/>
          <w:shd w:val="clear" w:color="auto" w:fill="FFFFFF"/>
          <w:lang w:eastAsia="zh-CN"/>
        </w:rPr>
      </w:pPr>
    </w:p>
    <w:p>
      <w:pPr>
        <w:pStyle w:val="2"/>
        <w:widowControl w:val="0"/>
        <w:spacing w:before="0" w:after="0" w:line="600" w:lineRule="exact"/>
        <w:ind w:left="0" w:leftChars="0" w:firstLine="0" w:firstLineChars="0"/>
        <w:jc w:val="both"/>
        <w:rPr>
          <w:rFonts w:ascii="Times New Roman" w:hAnsi="Times New Roman" w:eastAsia="仿宋_GB2312"/>
          <w:sz w:val="32"/>
          <w:szCs w:val="32"/>
          <w:shd w:val="clear" w:color="auto" w:fill="FFFFFF"/>
          <w:lang w:eastAsia="zh-CN"/>
        </w:rPr>
      </w:pPr>
    </w:p>
    <w:p>
      <w:pPr>
        <w:pStyle w:val="2"/>
        <w:widowControl w:val="0"/>
        <w:spacing w:before="0" w:after="0" w:line="600" w:lineRule="exact"/>
        <w:ind w:left="0" w:leftChars="0" w:firstLine="0" w:firstLineChars="0"/>
        <w:jc w:val="both"/>
        <w:rPr>
          <w:rFonts w:ascii="Times New Roman" w:hAnsi="Times New Roman" w:eastAsia="仿宋_GB2312"/>
          <w:sz w:val="32"/>
          <w:szCs w:val="32"/>
          <w:shd w:val="clear" w:color="auto" w:fill="FFFFFF"/>
          <w:lang w:eastAsia="zh-CN"/>
        </w:rPr>
      </w:pPr>
    </w:p>
    <w:p>
      <w:pPr>
        <w:pStyle w:val="2"/>
        <w:widowControl w:val="0"/>
        <w:spacing w:before="0" w:after="0" w:line="600" w:lineRule="exact"/>
        <w:ind w:left="0" w:leftChars="0" w:firstLine="0" w:firstLineChars="0"/>
        <w:jc w:val="both"/>
        <w:rPr>
          <w:rFonts w:ascii="Times New Roman" w:hAnsi="Times New Roman" w:eastAsia="仿宋_GB2312"/>
          <w:sz w:val="32"/>
          <w:szCs w:val="32"/>
          <w:shd w:val="clear" w:color="auto" w:fill="FFFFFF"/>
          <w:lang w:eastAsia="zh-CN"/>
        </w:rPr>
      </w:pPr>
    </w:p>
    <w:p>
      <w:pPr>
        <w:pStyle w:val="2"/>
        <w:widowControl w:val="0"/>
        <w:spacing w:before="0" w:after="0" w:line="600" w:lineRule="exact"/>
        <w:ind w:left="0" w:leftChars="0" w:firstLine="0" w:firstLineChars="0"/>
        <w:jc w:val="both"/>
        <w:rPr>
          <w:rFonts w:ascii="Times New Roman" w:hAnsi="Times New Roman" w:eastAsia="仿宋_GB2312"/>
          <w:sz w:val="32"/>
          <w:szCs w:val="32"/>
          <w:shd w:val="clear" w:color="auto" w:fill="FFFFFF"/>
          <w:lang w:eastAsia="zh-CN"/>
        </w:rPr>
      </w:pPr>
    </w:p>
    <w:p>
      <w:pPr>
        <w:pStyle w:val="2"/>
        <w:widowControl w:val="0"/>
        <w:spacing w:before="0" w:after="0" w:line="600" w:lineRule="exact"/>
        <w:ind w:left="0" w:leftChars="0" w:firstLine="0" w:firstLineChars="0"/>
        <w:jc w:val="both"/>
        <w:rPr>
          <w:rFonts w:ascii="Times New Roman" w:hAnsi="Times New Roman" w:eastAsia="仿宋_GB2312"/>
          <w:sz w:val="32"/>
          <w:szCs w:val="32"/>
          <w:shd w:val="clear" w:color="auto" w:fill="FFFFFF"/>
          <w:lang w:eastAsia="zh-CN"/>
        </w:rPr>
      </w:pPr>
    </w:p>
    <w:p>
      <w:pPr>
        <w:pStyle w:val="2"/>
        <w:widowControl w:val="0"/>
        <w:spacing w:before="0" w:after="0" w:line="600" w:lineRule="exact"/>
        <w:ind w:left="0" w:leftChars="0" w:firstLine="0" w:firstLineChars="0"/>
        <w:jc w:val="both"/>
        <w:rPr>
          <w:rFonts w:ascii="Times New Roman" w:hAnsi="Times New Roman" w:eastAsia="仿宋_GB2312"/>
          <w:sz w:val="32"/>
          <w:szCs w:val="32"/>
          <w:shd w:val="clear" w:color="auto" w:fill="FFFFFF"/>
          <w:lang w:eastAsia="zh-CN"/>
        </w:rPr>
      </w:pPr>
    </w:p>
    <w:p>
      <w:pPr>
        <w:pStyle w:val="2"/>
        <w:widowControl w:val="0"/>
        <w:spacing w:before="0" w:after="0" w:line="600" w:lineRule="exact"/>
        <w:ind w:left="0" w:leftChars="0" w:firstLine="0" w:firstLineChars="0"/>
        <w:jc w:val="both"/>
        <w:rPr>
          <w:rFonts w:ascii="Times New Roman" w:hAnsi="Times New Roman" w:eastAsia="仿宋_GB2312"/>
          <w:sz w:val="32"/>
          <w:szCs w:val="32"/>
          <w:shd w:val="clear" w:color="auto" w:fill="FFFFFF"/>
          <w:lang w:eastAsia="zh-CN"/>
        </w:rPr>
      </w:pPr>
    </w:p>
    <w:p>
      <w:pPr>
        <w:pStyle w:val="2"/>
        <w:widowControl w:val="0"/>
        <w:spacing w:before="0" w:after="0" w:line="600" w:lineRule="exact"/>
        <w:ind w:left="0" w:leftChars="0" w:firstLine="0" w:firstLineChars="0"/>
        <w:jc w:val="both"/>
        <w:rPr>
          <w:rFonts w:ascii="Times New Roman" w:hAnsi="Times New Roman" w:eastAsia="仿宋_GB2312"/>
          <w:sz w:val="32"/>
          <w:szCs w:val="32"/>
          <w:shd w:val="clear" w:color="auto" w:fill="FFFFFF"/>
          <w:lang w:eastAsia="zh-CN"/>
        </w:rPr>
      </w:pPr>
    </w:p>
    <w:p>
      <w:pPr>
        <w:pStyle w:val="2"/>
        <w:widowControl w:val="0"/>
        <w:spacing w:before="0" w:after="0" w:line="600" w:lineRule="exact"/>
        <w:ind w:left="0" w:leftChars="0" w:firstLine="0" w:firstLineChars="0"/>
        <w:jc w:val="both"/>
        <w:rPr>
          <w:rFonts w:ascii="Times New Roman" w:hAnsi="Times New Roman" w:eastAsia="仿宋_GB2312"/>
          <w:sz w:val="32"/>
          <w:szCs w:val="32"/>
          <w:shd w:val="clear" w:color="auto" w:fill="FFFFFF"/>
          <w:lang w:eastAsia="zh-CN"/>
        </w:rPr>
      </w:pPr>
    </w:p>
    <w:p>
      <w:pPr>
        <w:pStyle w:val="2"/>
        <w:widowControl w:val="0"/>
        <w:spacing w:before="0" w:after="0" w:line="600" w:lineRule="exact"/>
        <w:ind w:left="0" w:leftChars="0" w:firstLine="0" w:firstLineChars="0"/>
        <w:jc w:val="both"/>
        <w:rPr>
          <w:rFonts w:ascii="Times New Roman" w:hAnsi="Times New Roman" w:eastAsia="仿宋_GB2312"/>
          <w:sz w:val="32"/>
          <w:szCs w:val="32"/>
          <w:shd w:val="clear" w:color="auto" w:fill="FFFFFF"/>
          <w:lang w:eastAsia="zh-CN"/>
        </w:rPr>
      </w:pPr>
    </w:p>
    <w:p>
      <w:pPr>
        <w:pStyle w:val="2"/>
        <w:widowControl w:val="0"/>
        <w:spacing w:before="0" w:after="0" w:line="600" w:lineRule="exact"/>
        <w:ind w:left="0" w:leftChars="0" w:firstLine="0" w:firstLineChars="0"/>
        <w:jc w:val="both"/>
        <w:rPr>
          <w:rFonts w:ascii="Times New Roman" w:hAnsi="Times New Roman" w:eastAsia="仿宋_GB2312"/>
          <w:sz w:val="32"/>
          <w:szCs w:val="32"/>
          <w:shd w:val="clear" w:color="auto" w:fill="FFFFFF"/>
          <w:lang w:eastAsia="zh-CN"/>
        </w:rPr>
      </w:pPr>
    </w:p>
    <w:p>
      <w:pPr>
        <w:pStyle w:val="2"/>
        <w:widowControl w:val="0"/>
        <w:spacing w:before="0" w:after="0" w:line="600" w:lineRule="exact"/>
        <w:ind w:left="0" w:leftChars="0" w:firstLine="0" w:firstLineChars="0"/>
        <w:jc w:val="both"/>
        <w:rPr>
          <w:rFonts w:ascii="Times New Roman" w:hAnsi="Times New Roman" w:eastAsia="仿宋_GB2312"/>
          <w:sz w:val="32"/>
          <w:szCs w:val="32"/>
          <w:shd w:val="clear" w:color="auto" w:fill="FFFFFF"/>
          <w:lang w:eastAsia="zh-CN"/>
        </w:rPr>
      </w:pPr>
    </w:p>
    <w:p>
      <w:pPr>
        <w:pStyle w:val="2"/>
        <w:widowControl w:val="0"/>
        <w:spacing w:before="0" w:after="0" w:line="600" w:lineRule="exact"/>
        <w:ind w:left="0" w:leftChars="0" w:firstLine="0" w:firstLineChars="0"/>
        <w:jc w:val="center"/>
        <w:outlineLvl w:val="0"/>
        <w:rPr>
          <w:rFonts w:ascii="Times New Roman" w:hAnsi="Times New Roman" w:eastAsia="方正小标宋_GBK"/>
          <w:color w:val="auto"/>
          <w:sz w:val="44"/>
          <w:szCs w:val="44"/>
          <w:shd w:val="clear" w:color="auto" w:fill="FFFFFF"/>
          <w:lang w:val="en-US" w:eastAsia="zh-CN"/>
        </w:rPr>
      </w:pPr>
      <w:bookmarkStart w:id="757" w:name="_Toc19181"/>
      <w:r>
        <w:rPr>
          <w:rFonts w:ascii="Times New Roman" w:hAnsi="Times New Roman" w:eastAsia="方正小标宋_GBK"/>
          <w:color w:val="auto"/>
          <w:sz w:val="44"/>
          <w:szCs w:val="44"/>
          <w:shd w:val="clear" w:color="auto" w:fill="FFFFFF"/>
          <w:lang w:eastAsia="zh-CN"/>
        </w:rPr>
        <w:t>第十三部分</w:t>
      </w:r>
      <w:r>
        <w:rPr>
          <w:rFonts w:ascii="Times New Roman" w:hAnsi="Times New Roman" w:eastAsia="方正小标宋_GBK"/>
          <w:color w:val="auto"/>
          <w:sz w:val="44"/>
          <w:szCs w:val="44"/>
          <w:shd w:val="clear" w:color="auto" w:fill="FFFFFF"/>
          <w:lang w:val="en-US" w:eastAsia="zh-CN"/>
        </w:rPr>
        <w:t xml:space="preserve">  生态环保</w:t>
      </w:r>
      <w:bookmarkEnd w:id="757"/>
    </w:p>
    <w:p>
      <w:pPr>
        <w:spacing w:line="600" w:lineRule="exact"/>
        <w:ind w:firstLine="640" w:firstLineChars="200"/>
        <w:rPr>
          <w:szCs w:val="32"/>
        </w:rPr>
      </w:pPr>
    </w:p>
    <w:p>
      <w:pPr>
        <w:spacing w:line="580" w:lineRule="exact"/>
        <w:ind w:firstLine="640" w:firstLineChars="200"/>
        <w:outlineLvl w:val="1"/>
        <w:rPr>
          <w:rFonts w:hint="eastAsia" w:eastAsia="黑体"/>
          <w:szCs w:val="32"/>
        </w:rPr>
      </w:pPr>
      <w:bookmarkStart w:id="758" w:name="_Toc13958"/>
      <w:r>
        <w:rPr>
          <w:rFonts w:eastAsia="黑体"/>
          <w:szCs w:val="32"/>
        </w:rPr>
        <w:t>一、环境污染治理重点工程</w:t>
      </w:r>
      <w:bookmarkEnd w:id="758"/>
      <w:bookmarkStart w:id="759" w:name="_Toc20575"/>
    </w:p>
    <w:p>
      <w:pPr>
        <w:spacing w:line="580" w:lineRule="exact"/>
        <w:ind w:firstLine="640" w:firstLineChars="200"/>
        <w:outlineLvl w:val="1"/>
        <w:rPr>
          <w:rFonts w:eastAsia="黑体"/>
          <w:szCs w:val="32"/>
        </w:rPr>
      </w:pPr>
      <w:r>
        <w:rPr>
          <w:rFonts w:eastAsia="楷体"/>
          <w:szCs w:val="32"/>
        </w:rPr>
        <w:t>（一）城镇生活污水处理提质增效、集污管网建设项目</w:t>
      </w:r>
      <w:bookmarkEnd w:id="759"/>
    </w:p>
    <w:p>
      <w:pPr>
        <w:spacing w:line="580" w:lineRule="exact"/>
        <w:rPr>
          <w:szCs w:val="32"/>
        </w:rPr>
      </w:pPr>
      <w:r>
        <w:rPr>
          <w:b/>
          <w:bCs/>
          <w:szCs w:val="32"/>
        </w:rPr>
        <w:t xml:space="preserve">    </w:t>
      </w:r>
      <w:r>
        <w:rPr>
          <w:szCs w:val="32"/>
        </w:rPr>
        <w:t>1.支持范围</w:t>
      </w:r>
    </w:p>
    <w:p>
      <w:pPr>
        <w:pStyle w:val="14"/>
        <w:widowControl w:val="0"/>
        <w:adjustRightInd w:val="0"/>
        <w:snapToGrid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主要包括城镇生活污水处理设施、集污管网建设，中水处理设施建设，污水处理厂提标改造，雨污分流改造等污水处理提质增效项目。</w:t>
      </w:r>
    </w:p>
    <w:p>
      <w:pPr>
        <w:spacing w:line="580" w:lineRule="exact"/>
        <w:ind w:firstLine="640" w:firstLineChars="200"/>
        <w:rPr>
          <w:szCs w:val="32"/>
        </w:rPr>
      </w:pPr>
      <w:r>
        <w:rPr>
          <w:rFonts w:eastAsia="楷体"/>
          <w:kern w:val="0"/>
          <w:szCs w:val="32"/>
        </w:rPr>
        <w:t>2.</w:t>
      </w:r>
      <w:r>
        <w:rPr>
          <w:szCs w:val="32"/>
        </w:rPr>
        <w:t>支持方式和补助标准</w:t>
      </w:r>
    </w:p>
    <w:p>
      <w:pPr>
        <w:spacing w:line="580" w:lineRule="exact"/>
        <w:ind w:firstLine="640" w:firstLineChars="200"/>
        <w:rPr>
          <w:rFonts w:eastAsia="黑体"/>
          <w:szCs w:val="32"/>
        </w:rPr>
      </w:pPr>
      <w:r>
        <w:rPr>
          <w:szCs w:val="32"/>
        </w:rPr>
        <w:t>投资补助原则上采用切块方式下达，国家发展改革委确定各地区年度中央预算内投资切块规模，由省级发改部门将切块资金分解下达到具体项目。中央预算内投资不超过项目总投资的60%。</w:t>
      </w:r>
    </w:p>
    <w:p>
      <w:pPr>
        <w:spacing w:line="580" w:lineRule="exact"/>
        <w:ind w:firstLine="640" w:firstLineChars="200"/>
        <w:rPr>
          <w:szCs w:val="32"/>
        </w:rPr>
      </w:pPr>
      <w:r>
        <w:rPr>
          <w:szCs w:val="32"/>
        </w:rPr>
        <w:t>3.申报要求</w:t>
      </w:r>
    </w:p>
    <w:p>
      <w:pPr>
        <w:spacing w:line="580" w:lineRule="exact"/>
        <w:ind w:firstLine="640" w:firstLineChars="200"/>
        <w:rPr>
          <w:szCs w:val="32"/>
        </w:rPr>
      </w:pPr>
      <w:r>
        <w:rPr>
          <w:szCs w:val="32"/>
        </w:rPr>
        <w:t>项目应通过投资项目在线审批监管平台完成审批程序，取得城乡规划、用地审批（如需办理）、环评、节能审查等支撑性文件，申报需提供资金申请报告。实施年限控制在1-2年为宜，单个项目总投资应高于1000万元以上，工程体量大的项目可采取一次性规划，分期实施建设，项目实施后可能达到的标志性目标需量化。（如年处理城镇生活污水**万吨、减少废水排放**万吨等、年可减少COD等污染物排放**吨等）。</w:t>
      </w:r>
    </w:p>
    <w:p>
      <w:pPr>
        <w:spacing w:line="580" w:lineRule="exact"/>
        <w:outlineLvl w:val="2"/>
        <w:rPr>
          <w:szCs w:val="32"/>
        </w:rPr>
      </w:pPr>
      <w:r>
        <w:rPr>
          <w:rFonts w:eastAsia="楷体"/>
          <w:szCs w:val="32"/>
        </w:rPr>
        <w:t xml:space="preserve">  </w:t>
      </w:r>
      <w:bookmarkStart w:id="760" w:name="_Toc11225"/>
      <w:r>
        <w:rPr>
          <w:rFonts w:eastAsia="楷体"/>
          <w:szCs w:val="32"/>
        </w:rPr>
        <w:t>（二）城镇生活垃圾无害化处理设施建设、生活垃圾焚烧发电、生活垃圾收集转运项目</w:t>
      </w:r>
      <w:bookmarkEnd w:id="760"/>
    </w:p>
    <w:p>
      <w:pPr>
        <w:spacing w:line="580" w:lineRule="exact"/>
        <w:rPr>
          <w:szCs w:val="32"/>
        </w:rPr>
      </w:pPr>
      <w:r>
        <w:rPr>
          <w:rFonts w:eastAsia="楷体"/>
          <w:szCs w:val="32"/>
        </w:rPr>
        <w:t xml:space="preserve">    </w:t>
      </w:r>
      <w:r>
        <w:rPr>
          <w:szCs w:val="32"/>
        </w:rPr>
        <w:t>1.支持范围</w:t>
      </w:r>
    </w:p>
    <w:p>
      <w:pPr>
        <w:pStyle w:val="14"/>
        <w:widowControl w:val="0"/>
        <w:adjustRightInd w:val="0"/>
        <w:snapToGrid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主要包括五市规划的生活垃圾焚烧发电设施新建、扩建；生活垃圾收集转运设施、生活垃圾分类和资源化利用设施建设等。</w:t>
      </w:r>
    </w:p>
    <w:p>
      <w:pPr>
        <w:spacing w:line="580" w:lineRule="exact"/>
        <w:ind w:firstLine="640" w:firstLineChars="200"/>
        <w:rPr>
          <w:szCs w:val="32"/>
        </w:rPr>
      </w:pPr>
      <w:r>
        <w:rPr>
          <w:rFonts w:eastAsia="楷体"/>
          <w:kern w:val="0"/>
          <w:szCs w:val="32"/>
        </w:rPr>
        <w:t>2.</w:t>
      </w:r>
      <w:r>
        <w:rPr>
          <w:szCs w:val="32"/>
        </w:rPr>
        <w:t>支持方式和补助标准</w:t>
      </w:r>
    </w:p>
    <w:p>
      <w:pPr>
        <w:spacing w:line="580" w:lineRule="exact"/>
        <w:ind w:firstLine="640" w:firstLineChars="200"/>
        <w:rPr>
          <w:rFonts w:eastAsia="黑体"/>
          <w:szCs w:val="32"/>
        </w:rPr>
      </w:pPr>
      <w:r>
        <w:rPr>
          <w:szCs w:val="32"/>
        </w:rPr>
        <w:t>投资补助原则上采用切块方式下达，国家发展改革委确定各地区年度中央预算内投资切块规模，由省级发改部门将切块资金分解下达到具体项目。生活垃圾焚烧发电项目中央预算内补助不超过项目总投资的15%，单个项目投资补助金额不超过2000万元。生活垃圾收集转运设施、生活垃圾分类中央预算内投资不超过项目总投资的60%。</w:t>
      </w:r>
    </w:p>
    <w:p>
      <w:pPr>
        <w:spacing w:line="580" w:lineRule="exact"/>
        <w:ind w:firstLine="640" w:firstLineChars="200"/>
        <w:rPr>
          <w:szCs w:val="32"/>
        </w:rPr>
      </w:pPr>
      <w:r>
        <w:rPr>
          <w:szCs w:val="32"/>
        </w:rPr>
        <w:t>3.申报要求</w:t>
      </w:r>
    </w:p>
    <w:p>
      <w:pPr>
        <w:spacing w:line="580" w:lineRule="exact"/>
        <w:ind w:firstLine="640" w:firstLineChars="200"/>
        <w:rPr>
          <w:szCs w:val="32"/>
        </w:rPr>
      </w:pPr>
      <w:r>
        <w:rPr>
          <w:szCs w:val="32"/>
        </w:rPr>
        <w:t>项目应通过投资项目在线审批监管平台完成审批程序，取得城乡规划、用地审批（如需办理）、环评、节能审查等支撑性文件，申报需提供资金申请报告。实施年限控制在1-2年为宜，单个项目总投资应高于1000万元以上，工程体量大的项目可采取一次性规划，分期实施建设，项目实施后可能达到的标志性目标需量化。（如年处理城镇生活垃圾**万吨、分类率提高**%，回收利用**万吨等）。</w:t>
      </w:r>
    </w:p>
    <w:p>
      <w:pPr>
        <w:spacing w:line="580" w:lineRule="exact"/>
        <w:outlineLvl w:val="2"/>
        <w:rPr>
          <w:szCs w:val="32"/>
        </w:rPr>
      </w:pPr>
      <w:r>
        <w:rPr>
          <w:szCs w:val="32"/>
        </w:rPr>
        <w:t xml:space="preserve">    </w:t>
      </w:r>
      <w:bookmarkStart w:id="761" w:name="_Toc8582"/>
      <w:r>
        <w:rPr>
          <w:rFonts w:eastAsia="楷体"/>
          <w:szCs w:val="32"/>
        </w:rPr>
        <w:t>（三）餐厨废弃物资源化综合利用处置项目</w:t>
      </w:r>
      <w:bookmarkEnd w:id="761"/>
    </w:p>
    <w:p>
      <w:pPr>
        <w:spacing w:line="580" w:lineRule="exact"/>
        <w:rPr>
          <w:szCs w:val="32"/>
        </w:rPr>
      </w:pPr>
      <w:r>
        <w:rPr>
          <w:b/>
          <w:bCs/>
          <w:szCs w:val="32"/>
        </w:rPr>
        <w:t xml:space="preserve">     </w:t>
      </w:r>
      <w:r>
        <w:rPr>
          <w:szCs w:val="32"/>
        </w:rPr>
        <w:t>1.支持范围</w:t>
      </w:r>
    </w:p>
    <w:p>
      <w:pPr>
        <w:pStyle w:val="14"/>
        <w:widowControl w:val="0"/>
        <w:adjustRightInd w:val="0"/>
        <w:snapToGrid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主要包括具备建设处理条件的地区规划建设餐厨废弃物资源化综合利用统一收集、统一转运、集中处置设施的建设等。</w:t>
      </w:r>
    </w:p>
    <w:p>
      <w:pPr>
        <w:spacing w:line="580" w:lineRule="exact"/>
        <w:ind w:firstLine="640" w:firstLineChars="200"/>
        <w:rPr>
          <w:szCs w:val="32"/>
        </w:rPr>
      </w:pPr>
      <w:r>
        <w:rPr>
          <w:rFonts w:eastAsia="楷体"/>
          <w:kern w:val="0"/>
          <w:szCs w:val="32"/>
        </w:rPr>
        <w:t>2.</w:t>
      </w:r>
      <w:r>
        <w:rPr>
          <w:szCs w:val="32"/>
        </w:rPr>
        <w:t>支持方式和补助标准</w:t>
      </w:r>
    </w:p>
    <w:p>
      <w:pPr>
        <w:spacing w:line="580" w:lineRule="exact"/>
        <w:ind w:firstLine="640" w:firstLineChars="200"/>
        <w:rPr>
          <w:rFonts w:eastAsia="黑体"/>
          <w:szCs w:val="32"/>
        </w:rPr>
      </w:pPr>
      <w:r>
        <w:rPr>
          <w:szCs w:val="32"/>
        </w:rPr>
        <w:t>投资补助原则上采用切块方式下达，国家发展改革委确定各地区年度中央预算内投资切块规模，由省级发改部门将切块资金分解下达到具体项目。餐厨废弃物资源化综合利用项目中央预算内补助不超过项目总投资的15%，单个项目投资补助金额不超过2000万元。</w:t>
      </w:r>
    </w:p>
    <w:p>
      <w:pPr>
        <w:spacing w:line="580" w:lineRule="exact"/>
        <w:ind w:firstLine="640" w:firstLineChars="200"/>
        <w:rPr>
          <w:szCs w:val="32"/>
        </w:rPr>
      </w:pPr>
      <w:r>
        <w:rPr>
          <w:szCs w:val="32"/>
        </w:rPr>
        <w:t>3.申报要求</w:t>
      </w:r>
    </w:p>
    <w:p>
      <w:pPr>
        <w:spacing w:line="580" w:lineRule="exact"/>
        <w:ind w:firstLine="640" w:firstLineChars="200"/>
        <w:rPr>
          <w:szCs w:val="32"/>
        </w:rPr>
      </w:pPr>
      <w:r>
        <w:rPr>
          <w:szCs w:val="32"/>
        </w:rPr>
        <w:t>项目应通过投资项目在线审批监管平台完成审批程序，取得城乡规划、用地审批（如需办理）、环评、节能审查等支撑性文件，申报需提供资金申请报告。实施年限控制在1-2年为宜，单个项目总投资应高于1000万元以上，工程体量大的项目可采取一次性规划，分期实施建设，项目实施后可能达到的标志性目标需量化。（如年处理餐厨废弃物**万吨等）</w:t>
      </w:r>
    </w:p>
    <w:p>
      <w:pPr>
        <w:spacing w:line="580" w:lineRule="exact"/>
        <w:ind w:firstLine="480" w:firstLineChars="150"/>
        <w:outlineLvl w:val="2"/>
        <w:rPr>
          <w:rFonts w:eastAsia="楷体"/>
          <w:szCs w:val="32"/>
        </w:rPr>
      </w:pPr>
      <w:bookmarkStart w:id="762" w:name="_Toc24224"/>
      <w:r>
        <w:rPr>
          <w:rFonts w:eastAsia="楷体"/>
          <w:szCs w:val="32"/>
        </w:rPr>
        <w:t>（四）城镇污水处理厂污泥资源化利用项目</w:t>
      </w:r>
      <w:bookmarkEnd w:id="762"/>
    </w:p>
    <w:p>
      <w:pPr>
        <w:spacing w:line="580" w:lineRule="exact"/>
        <w:rPr>
          <w:szCs w:val="32"/>
        </w:rPr>
      </w:pPr>
      <w:r>
        <w:rPr>
          <w:szCs w:val="32"/>
        </w:rPr>
        <w:t xml:space="preserve">    1.支持范围</w:t>
      </w:r>
    </w:p>
    <w:p>
      <w:pPr>
        <w:pStyle w:val="14"/>
        <w:widowControl w:val="0"/>
        <w:adjustRightInd w:val="0"/>
        <w:snapToGrid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主要包括对各地城镇污水处理厂产生污泥集中收集、转运、集中处置、综合利用设施建设等。</w:t>
      </w:r>
    </w:p>
    <w:p>
      <w:pPr>
        <w:spacing w:line="580" w:lineRule="exact"/>
        <w:ind w:firstLine="640" w:firstLineChars="200"/>
        <w:rPr>
          <w:szCs w:val="32"/>
        </w:rPr>
      </w:pPr>
      <w:r>
        <w:rPr>
          <w:rFonts w:eastAsia="楷体"/>
          <w:kern w:val="0"/>
          <w:szCs w:val="32"/>
        </w:rPr>
        <w:t>2.</w:t>
      </w:r>
      <w:r>
        <w:rPr>
          <w:szCs w:val="32"/>
        </w:rPr>
        <w:t>支持方式和补助标准</w:t>
      </w:r>
    </w:p>
    <w:p>
      <w:pPr>
        <w:spacing w:line="580" w:lineRule="exact"/>
        <w:ind w:firstLine="640" w:firstLineChars="200"/>
        <w:rPr>
          <w:rFonts w:eastAsia="黑体"/>
          <w:szCs w:val="32"/>
        </w:rPr>
      </w:pPr>
      <w:r>
        <w:rPr>
          <w:szCs w:val="32"/>
        </w:rPr>
        <w:t>投资补助原则上采用切块方式下达，国家发展改革委确定各地区年度中央预算内投资切块规模，由省级发改部门将切块资金分解下达到具体项目。中央预算内投资不超过项目总投资的60%。</w:t>
      </w:r>
    </w:p>
    <w:p>
      <w:pPr>
        <w:spacing w:line="580" w:lineRule="exact"/>
        <w:ind w:firstLine="640" w:firstLineChars="200"/>
        <w:rPr>
          <w:szCs w:val="32"/>
        </w:rPr>
      </w:pPr>
      <w:r>
        <w:rPr>
          <w:szCs w:val="32"/>
        </w:rPr>
        <w:t>3.申报要求</w:t>
      </w:r>
    </w:p>
    <w:p>
      <w:pPr>
        <w:spacing w:line="580" w:lineRule="exact"/>
        <w:ind w:firstLine="640" w:firstLineChars="200"/>
        <w:rPr>
          <w:szCs w:val="32"/>
        </w:rPr>
      </w:pPr>
      <w:r>
        <w:rPr>
          <w:szCs w:val="32"/>
        </w:rPr>
        <w:t xml:space="preserve">项目应通过投资项目在线审批监管平台完成审批程序，取得城乡规划、用地审批（如需办理）、环评、节能审查等支撑性文件，申报需提供资金申请报告。实施年限控制在1-2年为宜，单个项目总投资应高于1000万元以上，工程体量大的项目可采取一次性规划，分期实施建设，项目实施后可能达到的标志性目标需量化。（如年综合利用污泥**万吨等） </w:t>
      </w:r>
    </w:p>
    <w:p>
      <w:pPr>
        <w:spacing w:line="580" w:lineRule="exact"/>
        <w:ind w:firstLine="640"/>
        <w:outlineLvl w:val="1"/>
        <w:rPr>
          <w:rFonts w:eastAsia="黑体"/>
          <w:szCs w:val="32"/>
        </w:rPr>
      </w:pPr>
      <w:bookmarkStart w:id="763" w:name="_Toc27042"/>
      <w:r>
        <w:rPr>
          <w:rFonts w:eastAsia="黑体"/>
          <w:szCs w:val="32"/>
        </w:rPr>
        <w:t>二、重点流域水环境综合治理工程</w:t>
      </w:r>
      <w:bookmarkEnd w:id="763"/>
    </w:p>
    <w:p>
      <w:pPr>
        <w:spacing w:line="580" w:lineRule="exact"/>
        <w:ind w:firstLine="640"/>
        <w:rPr>
          <w:szCs w:val="32"/>
        </w:rPr>
      </w:pPr>
      <w:r>
        <w:rPr>
          <w:szCs w:val="32"/>
        </w:rPr>
        <w:t>1.主要建设内容或规模</w:t>
      </w:r>
    </w:p>
    <w:p>
      <w:pPr>
        <w:spacing w:line="580" w:lineRule="exact"/>
        <w:ind w:firstLine="640" w:firstLineChars="200"/>
        <w:rPr>
          <w:szCs w:val="32"/>
        </w:rPr>
      </w:pPr>
      <w:r>
        <w:rPr>
          <w:szCs w:val="32"/>
        </w:rPr>
        <w:t>重点支持对水环境质量改善直接相关项目，包括河道（湖库）水环境综合治理、城镇饮用水水源地治理、流域可持续发展等项目类型，以及推进水环境治理和可持续发展的其他类型工程。具体为：沿河污水处理及配套工程、河道垃圾清理工程、超标污染底泥清除工程、河道湖岸生态湿地工程、生态护岸工程、生态隔离带、生态沟渠、绿色步道等工程，鼓励相关子项目打包推进实施，并至少打包2类子项目。不支持河湖连通、河道疏浚、修筑堤坝等工程，不支持单独安排的污水和垃圾处理项目。</w:t>
      </w:r>
    </w:p>
    <w:p>
      <w:pPr>
        <w:spacing w:line="580" w:lineRule="exact"/>
        <w:rPr>
          <w:szCs w:val="32"/>
        </w:rPr>
      </w:pPr>
      <w:r>
        <w:rPr>
          <w:szCs w:val="32"/>
        </w:rPr>
        <w:t xml:space="preserve">    2.实施年限</w:t>
      </w:r>
    </w:p>
    <w:p>
      <w:pPr>
        <w:spacing w:line="580" w:lineRule="exact"/>
        <w:ind w:firstLine="640"/>
        <w:rPr>
          <w:szCs w:val="32"/>
        </w:rPr>
      </w:pPr>
      <w:r>
        <w:rPr>
          <w:szCs w:val="32"/>
        </w:rPr>
        <w:t>建设期控制在1-2年为宜。</w:t>
      </w:r>
    </w:p>
    <w:p>
      <w:pPr>
        <w:spacing w:line="580" w:lineRule="exact"/>
        <w:rPr>
          <w:szCs w:val="32"/>
        </w:rPr>
      </w:pPr>
      <w:r>
        <w:rPr>
          <w:szCs w:val="32"/>
        </w:rPr>
        <w:t xml:space="preserve">    3.估算投资</w:t>
      </w:r>
    </w:p>
    <w:p>
      <w:pPr>
        <w:spacing w:line="580" w:lineRule="exact"/>
        <w:rPr>
          <w:szCs w:val="32"/>
        </w:rPr>
      </w:pPr>
      <w:r>
        <w:rPr>
          <w:szCs w:val="32"/>
        </w:rPr>
        <w:t xml:space="preserve">    单个项目总投资控制在1亿元以内。工程体量大的项目可采取一次性规划，分期实施，单个立项的方式分批次建设。</w:t>
      </w:r>
    </w:p>
    <w:p>
      <w:pPr>
        <w:spacing w:line="580" w:lineRule="exact"/>
        <w:rPr>
          <w:szCs w:val="32"/>
        </w:rPr>
      </w:pPr>
      <w:r>
        <w:rPr>
          <w:szCs w:val="32"/>
        </w:rPr>
        <w:t xml:space="preserve">    4.资金来源初步方案</w:t>
      </w:r>
    </w:p>
    <w:p>
      <w:pPr>
        <w:spacing w:line="580" w:lineRule="exact"/>
        <w:ind w:firstLine="640" w:firstLineChars="200"/>
        <w:rPr>
          <w:szCs w:val="32"/>
        </w:rPr>
      </w:pPr>
      <w:r>
        <w:rPr>
          <w:szCs w:val="32"/>
        </w:rPr>
        <w:t>该项目属地方项目，建设资金主要由有关市县和项目单位自行负责筹措，并积极吸引社会资金参与项目建设。申报中央预算内投资控制在项目总投资60%以内，补助额度按照符合投向的具体建设内容进行测算（专项投资支持的建设内容应作为项目建设主体）。</w:t>
      </w:r>
    </w:p>
    <w:p>
      <w:pPr>
        <w:spacing w:line="580" w:lineRule="exact"/>
        <w:ind w:firstLine="640" w:firstLineChars="200"/>
        <w:rPr>
          <w:szCs w:val="32"/>
        </w:rPr>
      </w:pPr>
      <w:r>
        <w:rPr>
          <w:szCs w:val="32"/>
        </w:rPr>
        <w:t>5.项目申报要求</w:t>
      </w:r>
    </w:p>
    <w:p>
      <w:pPr>
        <w:spacing w:line="580" w:lineRule="exact"/>
        <w:ind w:firstLine="640" w:firstLineChars="200"/>
        <w:rPr>
          <w:szCs w:val="32"/>
        </w:rPr>
      </w:pPr>
      <w:r>
        <w:rPr>
          <w:szCs w:val="32"/>
        </w:rPr>
        <w:t>申报项目已列入《规划》储备库和重大建设项目库，项目可研、规划选址、土地预审、环境评价等审批（核准、备案）程序完备合规，符合开工要求；项目建设资金渠道已基本落实，资金到位率达到15%以上；项目能在合理工期内完成建设，并在计划年度完成所申请投资任务。项目建设规模合理，治理措施效益明显；项目未重复使用其他中央投资。</w:t>
      </w:r>
    </w:p>
    <w:p>
      <w:pPr>
        <w:spacing w:line="580" w:lineRule="exact"/>
        <w:rPr>
          <w:szCs w:val="32"/>
        </w:rPr>
      </w:pPr>
      <w:r>
        <w:rPr>
          <w:szCs w:val="32"/>
        </w:rPr>
        <w:t xml:space="preserve">    6.经济社会效益</w:t>
      </w:r>
    </w:p>
    <w:p>
      <w:pPr>
        <w:spacing w:line="580" w:lineRule="exact"/>
        <w:rPr>
          <w:szCs w:val="32"/>
        </w:rPr>
      </w:pPr>
      <w:r>
        <w:rPr>
          <w:szCs w:val="32"/>
        </w:rPr>
        <w:t xml:space="preserve">    改善河道（湖库）水环境质量，保护饮用水水源地，促进黄河流域可持续发展。</w:t>
      </w:r>
    </w:p>
    <w:p>
      <w:pPr>
        <w:pStyle w:val="2"/>
        <w:widowControl w:val="0"/>
        <w:spacing w:before="0" w:after="0" w:line="600" w:lineRule="exact"/>
        <w:ind w:left="0" w:leftChars="0" w:firstLine="640"/>
        <w:rPr>
          <w:rFonts w:ascii="Times New Roman" w:hAnsi="Times New Roman" w:eastAsia="仿宋_GB2312"/>
          <w:sz w:val="32"/>
          <w:szCs w:val="32"/>
          <w:lang w:eastAsia="zh-CN"/>
        </w:rPr>
      </w:pPr>
    </w:p>
    <w:p>
      <w:pPr>
        <w:pStyle w:val="2"/>
        <w:widowControl w:val="0"/>
        <w:spacing w:before="0" w:after="0" w:line="600" w:lineRule="exact"/>
        <w:ind w:left="0" w:leftChars="0" w:firstLine="640"/>
        <w:jc w:val="center"/>
        <w:rPr>
          <w:rFonts w:ascii="Times New Roman" w:hAnsi="Times New Roman" w:eastAsia="仿宋_GB2312"/>
          <w:sz w:val="32"/>
          <w:szCs w:val="32"/>
          <w:shd w:val="clear" w:color="auto" w:fill="FFFFFF"/>
          <w:lang w:val="en-US" w:eastAsia="zh-CN"/>
        </w:rPr>
      </w:pPr>
    </w:p>
    <w:p>
      <w:pPr>
        <w:pStyle w:val="2"/>
        <w:widowControl w:val="0"/>
        <w:spacing w:before="0" w:after="0" w:line="600" w:lineRule="exact"/>
        <w:ind w:left="0" w:leftChars="0" w:firstLine="640"/>
        <w:rPr>
          <w:rFonts w:ascii="Times New Roman" w:hAnsi="Times New Roman" w:eastAsia="仿宋_GB2312"/>
          <w:sz w:val="32"/>
          <w:szCs w:val="32"/>
          <w:lang w:val="en-US" w:eastAsia="zh-CN"/>
        </w:rPr>
      </w:pPr>
    </w:p>
    <w:p>
      <w:pPr>
        <w:spacing w:line="600" w:lineRule="exact"/>
        <w:jc w:val="center"/>
        <w:rPr>
          <w:color w:val="000000"/>
          <w:szCs w:val="32"/>
        </w:rPr>
      </w:pPr>
      <w:r>
        <w:rPr>
          <w:color w:val="000000"/>
          <w:szCs w:val="32"/>
        </w:rPr>
        <w:t xml:space="preserve"> </w:t>
      </w:r>
    </w:p>
    <w:p>
      <w:pPr>
        <w:pStyle w:val="2"/>
        <w:widowControl w:val="0"/>
        <w:spacing w:before="0" w:after="0" w:line="600" w:lineRule="exact"/>
        <w:ind w:left="0" w:leftChars="0" w:firstLine="0" w:firstLineChars="0"/>
        <w:rPr>
          <w:rFonts w:hint="eastAsia" w:ascii="Times New Roman" w:hAnsi="Times New Roman" w:eastAsia="仿宋_GB2312"/>
          <w:sz w:val="32"/>
          <w:szCs w:val="32"/>
          <w:lang w:val="en-US" w:eastAsia="zh-CN"/>
        </w:rPr>
      </w:pPr>
    </w:p>
    <w:p>
      <w:pPr>
        <w:pStyle w:val="2"/>
        <w:widowControl w:val="0"/>
        <w:spacing w:before="0" w:after="0" w:line="600" w:lineRule="exact"/>
        <w:ind w:left="0" w:leftChars="0" w:firstLine="0" w:firstLineChars="0"/>
        <w:rPr>
          <w:rFonts w:hint="eastAsia" w:ascii="Times New Roman" w:hAnsi="Times New Roman" w:eastAsia="仿宋_GB2312"/>
          <w:sz w:val="32"/>
          <w:szCs w:val="32"/>
          <w:lang w:val="en-US" w:eastAsia="zh-CN"/>
        </w:rPr>
      </w:pPr>
    </w:p>
    <w:p>
      <w:pPr>
        <w:pStyle w:val="2"/>
        <w:widowControl w:val="0"/>
        <w:spacing w:before="0" w:after="0" w:line="600" w:lineRule="exact"/>
        <w:ind w:left="0" w:leftChars="0" w:firstLine="0" w:firstLineChars="0"/>
        <w:rPr>
          <w:rFonts w:hint="eastAsia" w:ascii="Times New Roman" w:hAnsi="Times New Roman" w:eastAsia="仿宋_GB2312"/>
          <w:sz w:val="32"/>
          <w:szCs w:val="32"/>
          <w:lang w:val="en-US" w:eastAsia="zh-CN"/>
        </w:rPr>
      </w:pPr>
    </w:p>
    <w:p>
      <w:pPr>
        <w:pStyle w:val="2"/>
        <w:widowControl w:val="0"/>
        <w:spacing w:before="0" w:after="0" w:line="600" w:lineRule="exact"/>
        <w:ind w:left="0" w:leftChars="0" w:firstLine="0" w:firstLineChars="0"/>
        <w:rPr>
          <w:rFonts w:hint="eastAsia" w:ascii="Times New Roman" w:hAnsi="Times New Roman" w:eastAsia="仿宋_GB2312"/>
          <w:sz w:val="32"/>
          <w:szCs w:val="32"/>
          <w:lang w:val="en-US" w:eastAsia="zh-CN"/>
        </w:rPr>
      </w:pPr>
    </w:p>
    <w:p>
      <w:pPr>
        <w:pStyle w:val="2"/>
        <w:widowControl w:val="0"/>
        <w:spacing w:before="0" w:after="0" w:line="600" w:lineRule="exact"/>
        <w:ind w:left="0" w:leftChars="0" w:firstLine="0" w:firstLineChars="0"/>
        <w:rPr>
          <w:rFonts w:hint="eastAsia" w:ascii="Times New Roman" w:hAnsi="Times New Roman" w:eastAsia="仿宋_GB2312"/>
          <w:sz w:val="32"/>
          <w:szCs w:val="32"/>
          <w:lang w:val="en-US" w:eastAsia="zh-CN"/>
        </w:rPr>
      </w:pPr>
    </w:p>
    <w:p>
      <w:pPr>
        <w:pStyle w:val="2"/>
        <w:widowControl w:val="0"/>
        <w:spacing w:before="0" w:after="0" w:line="600" w:lineRule="exact"/>
        <w:ind w:left="0" w:leftChars="0" w:firstLine="0" w:firstLineChars="0"/>
        <w:rPr>
          <w:rFonts w:hint="eastAsia" w:ascii="Times New Roman" w:hAnsi="Times New Roman" w:eastAsia="仿宋_GB2312"/>
          <w:sz w:val="32"/>
          <w:szCs w:val="32"/>
          <w:lang w:val="en-US" w:eastAsia="zh-CN"/>
        </w:rPr>
      </w:pPr>
    </w:p>
    <w:p>
      <w:pPr>
        <w:pStyle w:val="2"/>
        <w:widowControl w:val="0"/>
        <w:spacing w:before="0" w:after="0" w:line="600" w:lineRule="exact"/>
        <w:ind w:left="0" w:leftChars="0" w:firstLine="0" w:firstLineChars="0"/>
        <w:rPr>
          <w:rFonts w:hint="eastAsia" w:ascii="Times New Roman" w:hAnsi="Times New Roman" w:eastAsia="仿宋_GB2312"/>
          <w:sz w:val="32"/>
          <w:szCs w:val="32"/>
          <w:lang w:val="en-US" w:eastAsia="zh-CN"/>
        </w:rPr>
      </w:pPr>
    </w:p>
    <w:p>
      <w:pPr>
        <w:pStyle w:val="2"/>
        <w:widowControl w:val="0"/>
        <w:spacing w:before="0" w:after="0" w:line="600" w:lineRule="exact"/>
        <w:ind w:left="0" w:leftChars="0" w:firstLine="0" w:firstLineChars="0"/>
        <w:rPr>
          <w:rFonts w:hint="eastAsia" w:ascii="Times New Roman" w:hAnsi="Times New Roman" w:eastAsia="仿宋_GB2312"/>
          <w:sz w:val="32"/>
          <w:szCs w:val="32"/>
          <w:lang w:val="en-US" w:eastAsia="zh-CN"/>
        </w:rPr>
      </w:pPr>
    </w:p>
    <w:p>
      <w:pPr>
        <w:pStyle w:val="2"/>
        <w:widowControl w:val="0"/>
        <w:spacing w:before="0" w:after="0" w:line="600" w:lineRule="exact"/>
        <w:ind w:left="0" w:leftChars="0" w:firstLine="0" w:firstLineChars="0"/>
        <w:rPr>
          <w:rFonts w:hint="eastAsia" w:ascii="Times New Roman" w:hAnsi="Times New Roman" w:eastAsia="仿宋_GB2312"/>
          <w:sz w:val="32"/>
          <w:szCs w:val="32"/>
          <w:lang w:val="en-US" w:eastAsia="zh-CN"/>
        </w:rPr>
      </w:pPr>
    </w:p>
    <w:p>
      <w:pPr>
        <w:pStyle w:val="2"/>
        <w:widowControl w:val="0"/>
        <w:spacing w:before="0" w:after="0" w:line="600" w:lineRule="exact"/>
        <w:ind w:left="0" w:leftChars="0" w:firstLine="0" w:firstLineChars="0"/>
        <w:rPr>
          <w:rFonts w:hint="eastAsia" w:ascii="Times New Roman" w:hAnsi="Times New Roman" w:eastAsia="仿宋_GB2312"/>
          <w:sz w:val="32"/>
          <w:szCs w:val="32"/>
          <w:lang w:val="en-US" w:eastAsia="zh-CN"/>
        </w:rPr>
      </w:pPr>
    </w:p>
    <w:p>
      <w:pPr>
        <w:pStyle w:val="2"/>
        <w:widowControl w:val="0"/>
        <w:spacing w:before="0" w:after="0" w:line="600" w:lineRule="exact"/>
        <w:ind w:left="0" w:leftChars="0" w:firstLine="0" w:firstLineChars="0"/>
        <w:jc w:val="center"/>
        <w:outlineLvl w:val="0"/>
        <w:rPr>
          <w:rFonts w:ascii="Times New Roman" w:hAnsi="Times New Roman" w:eastAsia="方正小标宋_GBK"/>
          <w:sz w:val="44"/>
          <w:szCs w:val="44"/>
          <w:lang w:val="en-US" w:eastAsia="zh-CN"/>
        </w:rPr>
      </w:pPr>
      <w:bookmarkStart w:id="764" w:name="_Toc27543"/>
      <w:r>
        <w:rPr>
          <w:rFonts w:ascii="Times New Roman" w:hAnsi="Times New Roman" w:eastAsia="方正小标宋_GBK"/>
          <w:sz w:val="44"/>
          <w:szCs w:val="44"/>
          <w:lang w:val="en-US" w:eastAsia="zh-CN"/>
        </w:rPr>
        <w:t>第十四部分  政法基础设施</w:t>
      </w:r>
      <w:bookmarkEnd w:id="764"/>
    </w:p>
    <w:p>
      <w:pPr>
        <w:pStyle w:val="2"/>
        <w:widowControl w:val="0"/>
        <w:spacing w:before="0" w:after="0" w:line="600" w:lineRule="exact"/>
        <w:ind w:left="0" w:leftChars="0" w:firstLine="0" w:firstLineChars="0"/>
        <w:jc w:val="both"/>
        <w:rPr>
          <w:rFonts w:ascii="Times New Roman" w:hAnsi="Times New Roman" w:eastAsia="黑体"/>
          <w:sz w:val="32"/>
          <w:szCs w:val="32"/>
          <w:lang w:val="en-US" w:eastAsia="zh-CN"/>
        </w:rPr>
      </w:pPr>
    </w:p>
    <w:p>
      <w:pPr>
        <w:pStyle w:val="2"/>
        <w:widowControl w:val="0"/>
        <w:spacing w:before="0" w:after="0" w:line="600" w:lineRule="exact"/>
        <w:ind w:left="0" w:leftChars="0" w:firstLine="640" w:firstLineChars="0"/>
        <w:jc w:val="both"/>
        <w:outlineLvl w:val="1"/>
        <w:rPr>
          <w:rFonts w:ascii="Times New Roman" w:hAnsi="Times New Roman" w:eastAsia="黑体"/>
          <w:sz w:val="32"/>
          <w:szCs w:val="32"/>
          <w:lang w:val="en-US" w:eastAsia="zh-CN"/>
        </w:rPr>
      </w:pPr>
      <w:bookmarkStart w:id="765" w:name="_Toc32505"/>
      <w:r>
        <w:rPr>
          <w:rFonts w:ascii="Times New Roman" w:hAnsi="Times New Roman" w:eastAsia="黑体"/>
          <w:sz w:val="32"/>
          <w:szCs w:val="32"/>
          <w:lang w:val="en-US" w:eastAsia="zh-CN"/>
        </w:rPr>
        <w:t>一、公安系统</w:t>
      </w:r>
      <w:bookmarkEnd w:id="765"/>
    </w:p>
    <w:p>
      <w:pPr>
        <w:pStyle w:val="2"/>
        <w:widowControl w:val="0"/>
        <w:spacing w:before="0" w:after="0" w:line="600" w:lineRule="exact"/>
        <w:ind w:left="0" w:leftChars="0" w:firstLine="640" w:firstLineChars="0"/>
        <w:jc w:val="both"/>
        <w:outlineLvl w:val="2"/>
        <w:rPr>
          <w:rFonts w:ascii="Times New Roman" w:hAnsi="Times New Roman" w:eastAsia="仿宋_GB2312"/>
          <w:sz w:val="32"/>
          <w:szCs w:val="32"/>
          <w:lang w:val="en-US" w:eastAsia="zh-CN"/>
        </w:rPr>
      </w:pPr>
      <w:bookmarkStart w:id="766" w:name="_Toc12933"/>
      <w:r>
        <w:rPr>
          <w:rFonts w:ascii="Times New Roman" w:hAnsi="Times New Roman" w:eastAsia="楷体"/>
          <w:sz w:val="32"/>
          <w:szCs w:val="32"/>
          <w:lang w:val="en-US" w:eastAsia="zh-CN"/>
        </w:rPr>
        <w:t>（一）新建乡镇派出所及老旧派出所改扩建项目</w:t>
      </w:r>
      <w:bookmarkEnd w:id="766"/>
    </w:p>
    <w:p>
      <w:pPr>
        <w:spacing w:line="600" w:lineRule="exact"/>
        <w:rPr>
          <w:szCs w:val="32"/>
        </w:rPr>
      </w:pPr>
      <w:r>
        <w:rPr>
          <w:b/>
          <w:bCs/>
          <w:szCs w:val="32"/>
        </w:rPr>
        <w:t xml:space="preserve">    </w:t>
      </w:r>
      <w:r>
        <w:rPr>
          <w:szCs w:val="32"/>
        </w:rPr>
        <w:t>1.建设单位</w:t>
      </w:r>
    </w:p>
    <w:p>
      <w:pPr>
        <w:pStyle w:val="2"/>
        <w:widowControl w:val="0"/>
        <w:spacing w:before="0" w:after="0" w:line="60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××县（区）公安局</w:t>
      </w:r>
    </w:p>
    <w:p>
      <w:pPr>
        <w:spacing w:line="600" w:lineRule="exact"/>
        <w:rPr>
          <w:szCs w:val="32"/>
        </w:rPr>
      </w:pPr>
      <w:r>
        <w:rPr>
          <w:szCs w:val="32"/>
        </w:rPr>
        <w:t xml:space="preserve">    2.主要建设内容或规模</w:t>
      </w:r>
    </w:p>
    <w:p>
      <w:pPr>
        <w:spacing w:line="600" w:lineRule="exact"/>
        <w:ind w:firstLine="640"/>
        <w:rPr>
          <w:szCs w:val="32"/>
        </w:rPr>
      </w:pPr>
      <w:r>
        <w:rPr>
          <w:szCs w:val="32"/>
        </w:rPr>
        <w:t xml:space="preserve">支持《公安派出所建设标准》（2016修订版）建设内容，建筑面积按照以上标准进行核定。  </w:t>
      </w:r>
    </w:p>
    <w:p>
      <w:pPr>
        <w:spacing w:line="600" w:lineRule="exact"/>
        <w:ind w:firstLine="640"/>
        <w:rPr>
          <w:szCs w:val="32"/>
        </w:rPr>
      </w:pPr>
      <w:r>
        <w:rPr>
          <w:szCs w:val="32"/>
        </w:rPr>
        <w:t>3.建设性质</w:t>
      </w:r>
    </w:p>
    <w:p>
      <w:pPr>
        <w:spacing w:line="600" w:lineRule="exact"/>
        <w:ind w:firstLine="640" w:firstLineChars="200"/>
        <w:rPr>
          <w:szCs w:val="32"/>
        </w:rPr>
      </w:pPr>
      <w:r>
        <w:rPr>
          <w:szCs w:val="32"/>
        </w:rPr>
        <w:t>新建、改扩建</w:t>
      </w:r>
    </w:p>
    <w:p>
      <w:pPr>
        <w:spacing w:line="600" w:lineRule="exact"/>
        <w:rPr>
          <w:szCs w:val="32"/>
        </w:rPr>
      </w:pPr>
      <w:r>
        <w:rPr>
          <w:szCs w:val="32"/>
        </w:rPr>
        <w:t xml:space="preserve">    4.实施年限</w:t>
      </w:r>
    </w:p>
    <w:p>
      <w:pPr>
        <w:spacing w:line="600" w:lineRule="exact"/>
        <w:ind w:firstLine="640"/>
        <w:rPr>
          <w:szCs w:val="32"/>
        </w:rPr>
      </w:pPr>
      <w:r>
        <w:rPr>
          <w:szCs w:val="32"/>
        </w:rPr>
        <w:t>建设期控制在1-2年为宜。</w:t>
      </w:r>
    </w:p>
    <w:p>
      <w:pPr>
        <w:spacing w:line="600" w:lineRule="exact"/>
        <w:rPr>
          <w:szCs w:val="32"/>
        </w:rPr>
      </w:pPr>
      <w:r>
        <w:rPr>
          <w:szCs w:val="32"/>
        </w:rPr>
        <w:t xml:space="preserve">    5.估算投资</w:t>
      </w:r>
    </w:p>
    <w:p>
      <w:pPr>
        <w:spacing w:line="600" w:lineRule="exact"/>
        <w:ind w:firstLine="640"/>
        <w:rPr>
          <w:szCs w:val="32"/>
        </w:rPr>
      </w:pPr>
      <w:r>
        <w:rPr>
          <w:szCs w:val="32"/>
        </w:rPr>
        <w:t>项目投资控制在以下测算投资内</w:t>
      </w:r>
    </w:p>
    <w:p>
      <w:pPr>
        <w:spacing w:line="600" w:lineRule="exact"/>
        <w:ind w:firstLine="640"/>
        <w:rPr>
          <w:szCs w:val="32"/>
        </w:rPr>
      </w:pPr>
      <w:r>
        <w:rPr>
          <w:szCs w:val="32"/>
        </w:rPr>
        <w:t>建标核定面积×4000元/m</w:t>
      </w:r>
      <w:r>
        <w:rPr>
          <w:szCs w:val="32"/>
          <w:vertAlign w:val="superscript"/>
        </w:rPr>
        <w:t>2</w:t>
      </w:r>
      <w:r>
        <w:rPr>
          <w:szCs w:val="32"/>
        </w:rPr>
        <w:t>。</w:t>
      </w:r>
    </w:p>
    <w:p>
      <w:pPr>
        <w:spacing w:line="600" w:lineRule="exact"/>
        <w:ind w:firstLine="640"/>
        <w:rPr>
          <w:szCs w:val="32"/>
        </w:rPr>
      </w:pPr>
      <w:r>
        <w:rPr>
          <w:szCs w:val="32"/>
        </w:rPr>
        <w:t>6.资金来源初步方案</w:t>
      </w:r>
    </w:p>
    <w:p>
      <w:pPr>
        <w:spacing w:line="600" w:lineRule="exact"/>
        <w:ind w:firstLine="640"/>
        <w:rPr>
          <w:szCs w:val="32"/>
        </w:rPr>
      </w:pPr>
      <w:r>
        <w:rPr>
          <w:szCs w:val="32"/>
        </w:rPr>
        <w:t>政府投资（本级财政配套+中央预算内投资补助+自治区预算内投资补助）</w:t>
      </w:r>
    </w:p>
    <w:p>
      <w:pPr>
        <w:spacing w:line="600" w:lineRule="exact"/>
        <w:rPr>
          <w:szCs w:val="32"/>
        </w:rPr>
      </w:pPr>
      <w:r>
        <w:rPr>
          <w:szCs w:val="32"/>
        </w:rPr>
        <w:t xml:space="preserve">    7.经济社会效益</w:t>
      </w:r>
    </w:p>
    <w:p>
      <w:pPr>
        <w:spacing w:line="600" w:lineRule="exact"/>
        <w:rPr>
          <w:szCs w:val="32"/>
        </w:rPr>
      </w:pPr>
      <w:r>
        <w:rPr>
          <w:szCs w:val="32"/>
        </w:rPr>
        <w:t xml:space="preserve">   加强基层一线派出所阵地建设，提升基层治理能力水平。</w:t>
      </w:r>
    </w:p>
    <w:p>
      <w:pPr>
        <w:pStyle w:val="2"/>
        <w:widowControl w:val="0"/>
        <w:spacing w:before="0" w:after="0" w:line="600" w:lineRule="exact"/>
        <w:ind w:left="0" w:leftChars="0" w:firstLine="0" w:firstLineChars="0"/>
        <w:outlineLvl w:val="2"/>
        <w:rPr>
          <w:rFonts w:ascii="Times New Roman" w:hAnsi="Times New Roman" w:eastAsia="楷体"/>
          <w:sz w:val="32"/>
          <w:szCs w:val="32"/>
          <w:lang w:eastAsia="zh-CN"/>
        </w:rPr>
      </w:pPr>
      <w:r>
        <w:rPr>
          <w:rFonts w:ascii="Times New Roman" w:hAnsi="Times New Roman" w:eastAsia="楷体"/>
          <w:sz w:val="32"/>
          <w:szCs w:val="32"/>
          <w:lang w:val="en-US" w:eastAsia="zh-CN"/>
        </w:rPr>
        <w:t xml:space="preserve">    </w:t>
      </w:r>
      <w:bookmarkStart w:id="767" w:name="_Toc25212"/>
      <w:r>
        <w:rPr>
          <w:rFonts w:ascii="Times New Roman" w:hAnsi="Times New Roman" w:eastAsia="楷体"/>
          <w:sz w:val="32"/>
          <w:szCs w:val="32"/>
          <w:lang w:eastAsia="zh-CN"/>
        </w:rPr>
        <w:t>（二）</w:t>
      </w:r>
      <w:r>
        <w:rPr>
          <w:rFonts w:ascii="Times New Roman" w:hAnsi="Times New Roman" w:eastAsia="楷体"/>
          <w:sz w:val="32"/>
          <w:szCs w:val="32"/>
          <w:shd w:val="clear" w:color="auto" w:fill="FFFFFF"/>
          <w:lang w:eastAsia="zh-CN"/>
        </w:rPr>
        <w:t>公安机关业务技术用房</w:t>
      </w:r>
      <w:bookmarkEnd w:id="767"/>
    </w:p>
    <w:p>
      <w:pPr>
        <w:spacing w:line="600" w:lineRule="exact"/>
        <w:rPr>
          <w:szCs w:val="32"/>
        </w:rPr>
      </w:pPr>
      <w:r>
        <w:rPr>
          <w:b/>
          <w:bCs/>
          <w:szCs w:val="32"/>
        </w:rPr>
        <w:t xml:space="preserve">    </w:t>
      </w:r>
      <w:r>
        <w:rPr>
          <w:szCs w:val="32"/>
        </w:rPr>
        <w:t>1.建设单位</w:t>
      </w:r>
    </w:p>
    <w:p>
      <w:pPr>
        <w:spacing w:line="600" w:lineRule="exact"/>
        <w:rPr>
          <w:szCs w:val="32"/>
        </w:rPr>
      </w:pPr>
      <w:r>
        <w:rPr>
          <w:szCs w:val="32"/>
        </w:rPr>
        <w:t xml:space="preserve">    ××县（区）公安局</w:t>
      </w:r>
    </w:p>
    <w:p>
      <w:pPr>
        <w:spacing w:line="600" w:lineRule="exact"/>
        <w:ind w:firstLine="640"/>
        <w:rPr>
          <w:szCs w:val="32"/>
        </w:rPr>
      </w:pPr>
      <w:r>
        <w:rPr>
          <w:szCs w:val="32"/>
        </w:rPr>
        <w:t>2.主要建设内容或规模</w:t>
      </w:r>
    </w:p>
    <w:p>
      <w:pPr>
        <w:pStyle w:val="2"/>
        <w:widowControl w:val="0"/>
        <w:spacing w:before="0" w:after="0" w:line="600" w:lineRule="exact"/>
        <w:ind w:left="0" w:leftChars="0" w:firstLine="640" w:firstLineChars="0"/>
        <w:jc w:val="both"/>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支持《公安机关业务技术用房建设标准》（建标130-2010）建设内容，主要建设指挥中心、办案用房、窗口用房、信息通信用房、网络安全保卫用房、技术侦察用房、机要工作用房、 刑事技术用房、物证以及收缴物品保管用房、警用装备物资（含应急储备物资）库、警务技能训练用房、备勤用房、档案用房、 警犬基地和警犬用房。项目建筑面积按照《公安机关业务技术用房建设标准》（建标130-2010）进行核定。</w:t>
      </w:r>
    </w:p>
    <w:p>
      <w:pPr>
        <w:pStyle w:val="2"/>
        <w:widowControl w:val="0"/>
        <w:spacing w:before="0" w:after="0" w:line="600" w:lineRule="exact"/>
        <w:ind w:left="0" w:leftChars="0" w:firstLine="640" w:firstLineChars="0"/>
        <w:jc w:val="both"/>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除警务技能训练基地和警犬基地外的公安机关业务技术用房应与公安机关办公用房统一规划、统筹建设，在保证功能相对独立设置的前提下，宜合并建设，共用附属设施。</w:t>
      </w:r>
    </w:p>
    <w:p>
      <w:pPr>
        <w:pStyle w:val="2"/>
        <w:widowControl w:val="0"/>
        <w:spacing w:before="0" w:after="0" w:line="600" w:lineRule="exact"/>
        <w:ind w:left="0" w:leftChars="0" w:firstLine="640" w:firstLineChars="0"/>
        <w:jc w:val="both"/>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警务技能训练基地应依托原有的公安警校进行建设。考虑其培训内容的特殊性，如需新建的，可单独选址建设。</w:t>
      </w:r>
      <w:r>
        <w:rPr>
          <w:rFonts w:ascii="Times New Roman" w:hAnsi="Times New Roman" w:eastAsia="仿宋_GB2312"/>
          <w:sz w:val="32"/>
          <w:szCs w:val="32"/>
          <w:lang w:val="en-US" w:eastAsia="zh-CN"/>
        </w:rPr>
        <w:br w:type="textWrapping"/>
      </w:r>
      <w:r>
        <w:rPr>
          <w:rFonts w:ascii="Times New Roman" w:hAnsi="Times New Roman" w:eastAsia="仿宋_GB2312"/>
          <w:sz w:val="32"/>
          <w:szCs w:val="32"/>
          <w:lang w:val="en-US" w:eastAsia="zh-CN"/>
        </w:rPr>
        <w:t xml:space="preserve">    警犬基地根据繁育、训练警犬的业务特点和安全考虑，应单独选址建设，并避开城镇等人员密集的生活、学习及工作场所。</w:t>
      </w:r>
    </w:p>
    <w:p>
      <w:pPr>
        <w:spacing w:line="600" w:lineRule="exact"/>
        <w:ind w:firstLine="640"/>
        <w:rPr>
          <w:szCs w:val="32"/>
        </w:rPr>
      </w:pPr>
      <w:r>
        <w:rPr>
          <w:szCs w:val="32"/>
        </w:rPr>
        <w:t>3.建设性质</w:t>
      </w:r>
    </w:p>
    <w:p>
      <w:pPr>
        <w:spacing w:line="600" w:lineRule="exact"/>
        <w:ind w:firstLine="640" w:firstLineChars="200"/>
        <w:rPr>
          <w:szCs w:val="32"/>
        </w:rPr>
      </w:pPr>
      <w:r>
        <w:rPr>
          <w:szCs w:val="32"/>
        </w:rPr>
        <w:t>新建、改扩建</w:t>
      </w:r>
    </w:p>
    <w:p>
      <w:pPr>
        <w:spacing w:line="600" w:lineRule="exact"/>
        <w:rPr>
          <w:szCs w:val="32"/>
        </w:rPr>
      </w:pPr>
      <w:r>
        <w:rPr>
          <w:szCs w:val="32"/>
        </w:rPr>
        <w:t xml:space="preserve">    4.实施年限</w:t>
      </w:r>
    </w:p>
    <w:p>
      <w:pPr>
        <w:spacing w:line="600" w:lineRule="exact"/>
        <w:ind w:firstLine="640"/>
        <w:rPr>
          <w:szCs w:val="32"/>
        </w:rPr>
      </w:pPr>
      <w:r>
        <w:rPr>
          <w:szCs w:val="32"/>
        </w:rPr>
        <w:t>建设期控制在1-2年为宜。</w:t>
      </w:r>
    </w:p>
    <w:p>
      <w:pPr>
        <w:spacing w:line="600" w:lineRule="exact"/>
        <w:rPr>
          <w:szCs w:val="32"/>
        </w:rPr>
      </w:pPr>
      <w:r>
        <w:rPr>
          <w:szCs w:val="32"/>
        </w:rPr>
        <w:t xml:space="preserve">    5.估算投资</w:t>
      </w:r>
    </w:p>
    <w:p>
      <w:pPr>
        <w:spacing w:line="600" w:lineRule="exact"/>
        <w:ind w:firstLine="640"/>
        <w:rPr>
          <w:szCs w:val="32"/>
        </w:rPr>
      </w:pPr>
      <w:r>
        <w:rPr>
          <w:szCs w:val="32"/>
        </w:rPr>
        <w:t>项目投资控制在以下测算投资内</w:t>
      </w:r>
    </w:p>
    <w:p>
      <w:pPr>
        <w:spacing w:line="600" w:lineRule="exact"/>
        <w:ind w:firstLine="640"/>
        <w:rPr>
          <w:szCs w:val="32"/>
        </w:rPr>
      </w:pPr>
      <w:r>
        <w:rPr>
          <w:szCs w:val="32"/>
        </w:rPr>
        <w:t>建标核定面积×4000元/m</w:t>
      </w:r>
      <w:r>
        <w:rPr>
          <w:szCs w:val="32"/>
          <w:vertAlign w:val="superscript"/>
        </w:rPr>
        <w:t>2</w:t>
      </w:r>
      <w:r>
        <w:rPr>
          <w:szCs w:val="32"/>
        </w:rPr>
        <w:t>。</w:t>
      </w:r>
    </w:p>
    <w:p>
      <w:pPr>
        <w:spacing w:line="600" w:lineRule="exact"/>
        <w:ind w:firstLine="640"/>
        <w:rPr>
          <w:szCs w:val="32"/>
        </w:rPr>
      </w:pPr>
      <w:r>
        <w:rPr>
          <w:szCs w:val="32"/>
        </w:rPr>
        <w:t>6.资金来源初步方案</w:t>
      </w:r>
    </w:p>
    <w:p>
      <w:pPr>
        <w:spacing w:line="600" w:lineRule="exact"/>
        <w:ind w:firstLine="640"/>
        <w:rPr>
          <w:szCs w:val="32"/>
        </w:rPr>
      </w:pPr>
      <w:r>
        <w:rPr>
          <w:szCs w:val="32"/>
        </w:rPr>
        <w:t>政府投资（本级财政配套+中央预算内投资补助+自治区预算内投资补助）</w:t>
      </w:r>
    </w:p>
    <w:p>
      <w:pPr>
        <w:spacing w:line="600" w:lineRule="exact"/>
        <w:rPr>
          <w:szCs w:val="32"/>
        </w:rPr>
      </w:pPr>
      <w:r>
        <w:rPr>
          <w:szCs w:val="32"/>
        </w:rPr>
        <w:t xml:space="preserve">    7.经济社会效益</w:t>
      </w:r>
    </w:p>
    <w:p>
      <w:pPr>
        <w:spacing w:line="600" w:lineRule="exact"/>
        <w:ind w:firstLine="640"/>
        <w:rPr>
          <w:szCs w:val="32"/>
        </w:rPr>
      </w:pPr>
      <w:r>
        <w:rPr>
          <w:szCs w:val="32"/>
        </w:rPr>
        <w:t>提高公安机关维护国家安全和社会稳定、打击犯罪和服务社会的能力。</w:t>
      </w:r>
    </w:p>
    <w:p>
      <w:pPr>
        <w:pStyle w:val="2"/>
        <w:widowControl w:val="0"/>
        <w:spacing w:before="0" w:after="0" w:line="600" w:lineRule="exact"/>
        <w:ind w:left="0" w:leftChars="0" w:firstLine="0" w:firstLineChars="0"/>
        <w:outlineLvl w:val="2"/>
        <w:rPr>
          <w:rFonts w:ascii="Times New Roman" w:hAnsi="Times New Roman" w:eastAsia="楷体"/>
          <w:sz w:val="32"/>
          <w:szCs w:val="32"/>
          <w:lang w:val="en-US" w:eastAsia="zh-CN"/>
        </w:rPr>
      </w:pPr>
      <w:r>
        <w:rPr>
          <w:rFonts w:ascii="Times New Roman" w:hAnsi="Times New Roman" w:eastAsia="仿宋_GB2312"/>
          <w:sz w:val="32"/>
          <w:szCs w:val="32"/>
          <w:lang w:val="en-US" w:eastAsia="zh-CN"/>
        </w:rPr>
        <w:t xml:space="preserve">  </w:t>
      </w:r>
      <w:r>
        <w:rPr>
          <w:rFonts w:ascii="Times New Roman" w:hAnsi="Times New Roman" w:eastAsia="楷体"/>
          <w:sz w:val="32"/>
          <w:szCs w:val="32"/>
          <w:lang w:val="en-US" w:eastAsia="zh-CN"/>
        </w:rPr>
        <w:t xml:space="preserve"> </w:t>
      </w:r>
      <w:bookmarkStart w:id="768" w:name="_Toc30643"/>
      <w:r>
        <w:rPr>
          <w:rFonts w:ascii="Times New Roman" w:hAnsi="Times New Roman" w:eastAsia="楷体"/>
          <w:sz w:val="32"/>
          <w:szCs w:val="32"/>
          <w:lang w:val="en-US" w:eastAsia="zh-CN"/>
        </w:rPr>
        <w:t>（三）交警基层业务用房及配套设施建设项目</w:t>
      </w:r>
      <w:bookmarkEnd w:id="768"/>
    </w:p>
    <w:p>
      <w:pPr>
        <w:spacing w:line="600" w:lineRule="exact"/>
        <w:rPr>
          <w:szCs w:val="32"/>
        </w:rPr>
      </w:pPr>
      <w:r>
        <w:rPr>
          <w:szCs w:val="32"/>
        </w:rPr>
        <w:t xml:space="preserve">    1.建设单位</w:t>
      </w:r>
    </w:p>
    <w:p>
      <w:pPr>
        <w:pStyle w:val="2"/>
        <w:widowControl w:val="0"/>
        <w:spacing w:before="0" w:after="0" w:line="60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××县（区）公安局</w:t>
      </w:r>
    </w:p>
    <w:p>
      <w:pPr>
        <w:spacing w:line="600" w:lineRule="exact"/>
        <w:rPr>
          <w:szCs w:val="32"/>
        </w:rPr>
      </w:pPr>
      <w:r>
        <w:rPr>
          <w:szCs w:val="32"/>
        </w:rPr>
        <w:t xml:space="preserve">    2.主要建设内容或规模</w:t>
      </w:r>
    </w:p>
    <w:p>
      <w:pPr>
        <w:spacing w:line="600" w:lineRule="exact"/>
        <w:ind w:firstLine="640"/>
        <w:rPr>
          <w:szCs w:val="32"/>
        </w:rPr>
      </w:pPr>
      <w:r>
        <w:rPr>
          <w:szCs w:val="32"/>
        </w:rPr>
        <w:t>主要为交警队和车管所建设项目。交警队主要建设窗口用房、办案用房、业务保障用房、后勤保障用房、设备用房、附属用房；车管所主要建设窗口用房、业务保障用房、后勤保障用房、设备用房、附属用房。</w:t>
      </w:r>
    </w:p>
    <w:p>
      <w:pPr>
        <w:spacing w:line="600" w:lineRule="exact"/>
        <w:ind w:firstLine="640"/>
        <w:rPr>
          <w:szCs w:val="32"/>
        </w:rPr>
      </w:pPr>
      <w:r>
        <w:rPr>
          <w:szCs w:val="32"/>
        </w:rPr>
        <w:t>3.建设性质</w:t>
      </w:r>
    </w:p>
    <w:p>
      <w:pPr>
        <w:spacing w:line="600" w:lineRule="exact"/>
        <w:ind w:firstLine="640" w:firstLineChars="200"/>
        <w:rPr>
          <w:szCs w:val="32"/>
        </w:rPr>
      </w:pPr>
      <w:r>
        <w:rPr>
          <w:szCs w:val="32"/>
        </w:rPr>
        <w:t>新建、改扩建</w:t>
      </w:r>
    </w:p>
    <w:p>
      <w:pPr>
        <w:spacing w:line="600" w:lineRule="exact"/>
        <w:rPr>
          <w:szCs w:val="32"/>
        </w:rPr>
      </w:pPr>
      <w:r>
        <w:rPr>
          <w:szCs w:val="32"/>
        </w:rPr>
        <w:t xml:space="preserve">    4.实施年限</w:t>
      </w:r>
    </w:p>
    <w:p>
      <w:pPr>
        <w:spacing w:line="600" w:lineRule="exact"/>
        <w:ind w:firstLine="640"/>
        <w:rPr>
          <w:szCs w:val="32"/>
        </w:rPr>
      </w:pPr>
      <w:r>
        <w:rPr>
          <w:szCs w:val="32"/>
        </w:rPr>
        <w:t>建设期控制在1-2年为宜。</w:t>
      </w:r>
    </w:p>
    <w:p>
      <w:pPr>
        <w:spacing w:line="600" w:lineRule="exact"/>
        <w:rPr>
          <w:szCs w:val="32"/>
        </w:rPr>
      </w:pPr>
      <w:r>
        <w:rPr>
          <w:szCs w:val="32"/>
        </w:rPr>
        <w:t xml:space="preserve">    5.估算投资</w:t>
      </w:r>
    </w:p>
    <w:p>
      <w:pPr>
        <w:spacing w:line="600" w:lineRule="exact"/>
        <w:ind w:firstLine="640"/>
        <w:rPr>
          <w:szCs w:val="32"/>
        </w:rPr>
      </w:pPr>
      <w:r>
        <w:rPr>
          <w:szCs w:val="32"/>
        </w:rPr>
        <w:t>项目投资控制在以下测算投资内</w:t>
      </w:r>
    </w:p>
    <w:p>
      <w:pPr>
        <w:spacing w:line="600" w:lineRule="exact"/>
        <w:ind w:firstLine="640"/>
        <w:rPr>
          <w:szCs w:val="32"/>
        </w:rPr>
      </w:pPr>
      <w:r>
        <w:rPr>
          <w:szCs w:val="32"/>
        </w:rPr>
        <w:t>建筑面积×4000元/m</w:t>
      </w:r>
      <w:r>
        <w:rPr>
          <w:szCs w:val="32"/>
          <w:vertAlign w:val="superscript"/>
        </w:rPr>
        <w:t>2</w:t>
      </w:r>
      <w:r>
        <w:rPr>
          <w:szCs w:val="32"/>
        </w:rPr>
        <w:t>。</w:t>
      </w:r>
    </w:p>
    <w:p>
      <w:pPr>
        <w:spacing w:line="600" w:lineRule="exact"/>
        <w:ind w:firstLine="640"/>
        <w:rPr>
          <w:szCs w:val="32"/>
        </w:rPr>
      </w:pPr>
      <w:r>
        <w:rPr>
          <w:szCs w:val="32"/>
        </w:rPr>
        <w:t>6.资金来源初步方案</w:t>
      </w:r>
    </w:p>
    <w:p>
      <w:pPr>
        <w:spacing w:line="600" w:lineRule="exact"/>
        <w:ind w:firstLine="640"/>
        <w:rPr>
          <w:szCs w:val="32"/>
        </w:rPr>
      </w:pPr>
      <w:r>
        <w:rPr>
          <w:szCs w:val="32"/>
        </w:rPr>
        <w:t>政府投资（主要为本级财政资金）</w:t>
      </w:r>
    </w:p>
    <w:p>
      <w:pPr>
        <w:spacing w:line="600" w:lineRule="exact"/>
        <w:rPr>
          <w:szCs w:val="32"/>
        </w:rPr>
      </w:pPr>
      <w:r>
        <w:rPr>
          <w:szCs w:val="32"/>
        </w:rPr>
        <w:t xml:space="preserve">    7.经济社会效益</w:t>
      </w:r>
    </w:p>
    <w:p>
      <w:pPr>
        <w:spacing w:line="600" w:lineRule="exact"/>
        <w:rPr>
          <w:spacing w:val="-6"/>
          <w:szCs w:val="32"/>
        </w:rPr>
      </w:pPr>
      <w:r>
        <w:rPr>
          <w:szCs w:val="32"/>
        </w:rPr>
        <w:t xml:space="preserve">   更</w:t>
      </w:r>
      <w:r>
        <w:rPr>
          <w:spacing w:val="-6"/>
          <w:szCs w:val="32"/>
        </w:rPr>
        <w:t>好维护道路交通秩序，预防和减少交通事故，提高通行效率。</w:t>
      </w:r>
    </w:p>
    <w:p>
      <w:pPr>
        <w:pStyle w:val="2"/>
        <w:widowControl w:val="0"/>
        <w:spacing w:before="0" w:after="0" w:line="600" w:lineRule="exact"/>
        <w:ind w:left="0" w:leftChars="0" w:firstLine="0" w:firstLineChars="0"/>
        <w:outlineLvl w:val="1"/>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w:t>
      </w:r>
      <w:bookmarkStart w:id="769" w:name="_Toc31214"/>
      <w:r>
        <w:rPr>
          <w:rFonts w:ascii="Times New Roman" w:hAnsi="Times New Roman" w:eastAsia="黑体"/>
          <w:sz w:val="32"/>
          <w:szCs w:val="32"/>
          <w:lang w:val="en-US" w:eastAsia="zh-CN"/>
        </w:rPr>
        <w:t>二、法院系统</w:t>
      </w:r>
      <w:bookmarkEnd w:id="769"/>
    </w:p>
    <w:p>
      <w:pPr>
        <w:pStyle w:val="2"/>
        <w:widowControl w:val="0"/>
        <w:spacing w:before="0" w:after="0" w:line="600" w:lineRule="exact"/>
        <w:ind w:left="0" w:leftChars="0" w:firstLine="640" w:firstLineChars="0"/>
        <w:outlineLvl w:val="2"/>
        <w:rPr>
          <w:rFonts w:ascii="Times New Roman" w:hAnsi="Times New Roman" w:eastAsia="楷体"/>
          <w:sz w:val="32"/>
          <w:szCs w:val="32"/>
          <w:lang w:val="en-US" w:eastAsia="zh-CN"/>
        </w:rPr>
      </w:pPr>
      <w:bookmarkStart w:id="770" w:name="_Toc23050"/>
      <w:r>
        <w:rPr>
          <w:rFonts w:ascii="Times New Roman" w:hAnsi="Times New Roman" w:eastAsia="楷体"/>
          <w:sz w:val="32"/>
          <w:szCs w:val="32"/>
          <w:lang w:val="en-US" w:eastAsia="zh-CN"/>
        </w:rPr>
        <w:t>县区人民法院审判法庭及派出人民法庭</w:t>
      </w:r>
      <w:bookmarkEnd w:id="770"/>
    </w:p>
    <w:p>
      <w:pPr>
        <w:spacing w:line="600" w:lineRule="exact"/>
        <w:rPr>
          <w:szCs w:val="32"/>
        </w:rPr>
      </w:pPr>
      <w:r>
        <w:rPr>
          <w:b/>
          <w:bCs/>
          <w:szCs w:val="32"/>
        </w:rPr>
        <w:t xml:space="preserve">    </w:t>
      </w:r>
      <w:r>
        <w:rPr>
          <w:szCs w:val="32"/>
        </w:rPr>
        <w:t>1.建设单位</w:t>
      </w:r>
    </w:p>
    <w:p>
      <w:pPr>
        <w:pStyle w:val="2"/>
        <w:widowControl w:val="0"/>
        <w:spacing w:before="0" w:after="0" w:line="60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自治区高级人民法院</w:t>
      </w:r>
    </w:p>
    <w:p>
      <w:pPr>
        <w:spacing w:line="600" w:lineRule="exact"/>
        <w:rPr>
          <w:szCs w:val="32"/>
        </w:rPr>
      </w:pPr>
      <w:r>
        <w:rPr>
          <w:szCs w:val="32"/>
        </w:rPr>
        <w:t xml:space="preserve">    2.主要建设内容或规模</w:t>
      </w:r>
    </w:p>
    <w:p>
      <w:pPr>
        <w:spacing w:line="600" w:lineRule="exact"/>
        <w:ind w:firstLine="640"/>
        <w:rPr>
          <w:szCs w:val="32"/>
        </w:rPr>
      </w:pPr>
      <w:r>
        <w:rPr>
          <w:szCs w:val="32"/>
        </w:rPr>
        <w:t xml:space="preserve">支持《人民法院法庭建设标准》（建标138-2010）建设内容，建筑面积按照以上标准进行核定。  </w:t>
      </w:r>
    </w:p>
    <w:p>
      <w:pPr>
        <w:spacing w:line="600" w:lineRule="exact"/>
        <w:ind w:firstLine="640"/>
        <w:rPr>
          <w:szCs w:val="32"/>
        </w:rPr>
      </w:pPr>
      <w:r>
        <w:rPr>
          <w:szCs w:val="32"/>
        </w:rPr>
        <w:t>3.建设性质</w:t>
      </w:r>
    </w:p>
    <w:p>
      <w:pPr>
        <w:spacing w:line="600" w:lineRule="exact"/>
        <w:ind w:firstLine="640" w:firstLineChars="200"/>
        <w:rPr>
          <w:szCs w:val="32"/>
        </w:rPr>
      </w:pPr>
      <w:r>
        <w:rPr>
          <w:szCs w:val="32"/>
        </w:rPr>
        <w:t>新建、改扩建</w:t>
      </w:r>
    </w:p>
    <w:p>
      <w:pPr>
        <w:spacing w:line="600" w:lineRule="exact"/>
        <w:rPr>
          <w:szCs w:val="32"/>
        </w:rPr>
      </w:pPr>
      <w:r>
        <w:rPr>
          <w:szCs w:val="32"/>
        </w:rPr>
        <w:t xml:space="preserve">    4.实施年限</w:t>
      </w:r>
    </w:p>
    <w:p>
      <w:pPr>
        <w:spacing w:line="600" w:lineRule="exact"/>
        <w:ind w:firstLine="640"/>
        <w:rPr>
          <w:szCs w:val="32"/>
        </w:rPr>
      </w:pPr>
      <w:r>
        <w:rPr>
          <w:szCs w:val="32"/>
        </w:rPr>
        <w:t>建设期控制在1-2年为宜。</w:t>
      </w:r>
    </w:p>
    <w:p>
      <w:pPr>
        <w:spacing w:line="600" w:lineRule="exact"/>
        <w:rPr>
          <w:szCs w:val="32"/>
        </w:rPr>
      </w:pPr>
      <w:r>
        <w:rPr>
          <w:szCs w:val="32"/>
        </w:rPr>
        <w:t xml:space="preserve">    5.估算投资</w:t>
      </w:r>
    </w:p>
    <w:p>
      <w:pPr>
        <w:spacing w:line="600" w:lineRule="exact"/>
        <w:ind w:firstLine="640"/>
        <w:rPr>
          <w:szCs w:val="32"/>
        </w:rPr>
      </w:pPr>
      <w:r>
        <w:rPr>
          <w:szCs w:val="32"/>
        </w:rPr>
        <w:t>项目投资控制在以下测算投资内</w:t>
      </w:r>
    </w:p>
    <w:p>
      <w:pPr>
        <w:spacing w:line="600" w:lineRule="exact"/>
        <w:ind w:firstLine="640"/>
        <w:rPr>
          <w:szCs w:val="32"/>
        </w:rPr>
      </w:pPr>
      <w:r>
        <w:rPr>
          <w:szCs w:val="32"/>
        </w:rPr>
        <w:t>建标核定面积×4000元/m</w:t>
      </w:r>
      <w:r>
        <w:rPr>
          <w:szCs w:val="32"/>
          <w:vertAlign w:val="superscript"/>
        </w:rPr>
        <w:t>2</w:t>
      </w:r>
      <w:r>
        <w:rPr>
          <w:szCs w:val="32"/>
        </w:rPr>
        <w:t>。</w:t>
      </w:r>
    </w:p>
    <w:p>
      <w:pPr>
        <w:spacing w:line="600" w:lineRule="exact"/>
        <w:ind w:firstLine="640"/>
        <w:rPr>
          <w:szCs w:val="32"/>
        </w:rPr>
      </w:pPr>
      <w:r>
        <w:rPr>
          <w:szCs w:val="32"/>
        </w:rPr>
        <w:t>6.资金来源初步方案</w:t>
      </w:r>
    </w:p>
    <w:p>
      <w:pPr>
        <w:spacing w:line="600" w:lineRule="exact"/>
        <w:ind w:firstLine="640"/>
        <w:rPr>
          <w:szCs w:val="32"/>
        </w:rPr>
      </w:pPr>
      <w:r>
        <w:rPr>
          <w:szCs w:val="32"/>
        </w:rPr>
        <w:t>政府投资（中央预算内投资补助+自治区财政资金配套）</w:t>
      </w:r>
    </w:p>
    <w:p>
      <w:pPr>
        <w:spacing w:line="600" w:lineRule="exact"/>
        <w:rPr>
          <w:szCs w:val="32"/>
        </w:rPr>
      </w:pPr>
      <w:r>
        <w:rPr>
          <w:szCs w:val="32"/>
        </w:rPr>
        <w:t xml:space="preserve">    7.经济社会效益</w:t>
      </w:r>
    </w:p>
    <w:p>
      <w:pPr>
        <w:pStyle w:val="2"/>
        <w:widowControl w:val="0"/>
        <w:spacing w:before="0" w:after="0" w:line="600" w:lineRule="exact"/>
        <w:ind w:left="0" w:leftChars="0" w:firstLine="0" w:firstLineChars="0"/>
        <w:rPr>
          <w:rFonts w:ascii="Times New Roman" w:hAnsi="Times New Roman" w:eastAsia="微软雅黑"/>
          <w:shd w:val="clear" w:color="auto" w:fill="FFFFFF"/>
          <w:lang w:val="en-US" w:eastAsia="zh-CN"/>
        </w:rPr>
      </w:pPr>
      <w:r>
        <w:rPr>
          <w:rFonts w:ascii="Times New Roman" w:hAnsi="Times New Roman" w:eastAsia="仿宋_GB2312"/>
          <w:sz w:val="32"/>
          <w:szCs w:val="32"/>
          <w:lang w:val="en-US" w:eastAsia="zh-CN"/>
        </w:rPr>
        <w:t xml:space="preserve">    </w:t>
      </w:r>
      <w:r>
        <w:rPr>
          <w:rFonts w:ascii="Times New Roman" w:hAnsi="Times New Roman" w:eastAsia="仿宋_GB2312"/>
          <w:sz w:val="32"/>
          <w:szCs w:val="32"/>
          <w:lang w:eastAsia="zh-CN"/>
        </w:rPr>
        <w:t>加强基层一线法院法庭建设，</w:t>
      </w:r>
      <w:r>
        <w:rPr>
          <w:rFonts w:ascii="Times New Roman" w:hAnsi="Times New Roman" w:eastAsia="仿宋_GB2312"/>
          <w:sz w:val="32"/>
          <w:szCs w:val="32"/>
          <w:lang w:val="en-US" w:eastAsia="zh-CN"/>
        </w:rPr>
        <w:t>提升基层治理效能。</w:t>
      </w:r>
    </w:p>
    <w:p>
      <w:pPr>
        <w:pStyle w:val="2"/>
        <w:widowControl w:val="0"/>
        <w:spacing w:before="0" w:after="0" w:line="600" w:lineRule="exact"/>
        <w:ind w:left="0" w:leftChars="0" w:firstLine="0" w:firstLineChars="0"/>
        <w:jc w:val="both"/>
        <w:outlineLvl w:val="1"/>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w:t>
      </w:r>
      <w:bookmarkStart w:id="771" w:name="_Toc16378"/>
      <w:r>
        <w:rPr>
          <w:rFonts w:ascii="Times New Roman" w:hAnsi="Times New Roman" w:eastAsia="黑体"/>
          <w:sz w:val="32"/>
          <w:szCs w:val="32"/>
          <w:lang w:val="en-US" w:eastAsia="zh-CN"/>
        </w:rPr>
        <w:t>三、司法系统</w:t>
      </w:r>
      <w:bookmarkEnd w:id="771"/>
    </w:p>
    <w:p>
      <w:pPr>
        <w:pStyle w:val="2"/>
        <w:widowControl w:val="0"/>
        <w:spacing w:before="0" w:after="0" w:line="600" w:lineRule="exact"/>
        <w:ind w:left="0" w:leftChars="0" w:firstLine="0" w:firstLineChars="0"/>
        <w:jc w:val="both"/>
        <w:outlineLvl w:val="2"/>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w:t>
      </w:r>
      <w:bookmarkStart w:id="772" w:name="_Toc2897"/>
      <w:r>
        <w:rPr>
          <w:rFonts w:ascii="Times New Roman" w:hAnsi="Times New Roman" w:eastAsia="楷体"/>
          <w:sz w:val="32"/>
          <w:szCs w:val="32"/>
          <w:lang w:val="en-US" w:eastAsia="zh-CN"/>
        </w:rPr>
        <w:t>乡镇司法所建设项目</w:t>
      </w:r>
      <w:bookmarkEnd w:id="772"/>
    </w:p>
    <w:p>
      <w:pPr>
        <w:spacing w:line="600" w:lineRule="exact"/>
        <w:rPr>
          <w:szCs w:val="32"/>
        </w:rPr>
      </w:pPr>
      <w:r>
        <w:rPr>
          <w:b/>
          <w:bCs/>
          <w:szCs w:val="32"/>
        </w:rPr>
        <w:t xml:space="preserve">   </w:t>
      </w:r>
      <w:r>
        <w:rPr>
          <w:szCs w:val="32"/>
        </w:rPr>
        <w:t xml:space="preserve"> 1.建设单位</w:t>
      </w:r>
    </w:p>
    <w:p>
      <w:pPr>
        <w:pStyle w:val="2"/>
        <w:widowControl w:val="0"/>
        <w:spacing w:before="0" w:after="0" w:line="60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××县（区）司法局</w:t>
      </w:r>
    </w:p>
    <w:p>
      <w:pPr>
        <w:spacing w:line="600" w:lineRule="exact"/>
        <w:rPr>
          <w:szCs w:val="32"/>
        </w:rPr>
      </w:pPr>
      <w:r>
        <w:rPr>
          <w:szCs w:val="32"/>
        </w:rPr>
        <w:t xml:space="preserve">    2.主要建设内容或规模</w:t>
      </w:r>
    </w:p>
    <w:p>
      <w:pPr>
        <w:spacing w:line="600" w:lineRule="exact"/>
        <w:ind w:firstLine="640"/>
        <w:rPr>
          <w:szCs w:val="32"/>
        </w:rPr>
      </w:pPr>
      <w:r>
        <w:rPr>
          <w:szCs w:val="32"/>
        </w:rPr>
        <w:t xml:space="preserve">支持《司法业务用房建设标准》（建标129-2010）建设内容，建筑面积按照以上标准进行核定。  </w:t>
      </w:r>
    </w:p>
    <w:p>
      <w:pPr>
        <w:spacing w:line="600" w:lineRule="exact"/>
        <w:ind w:firstLine="640"/>
        <w:rPr>
          <w:szCs w:val="32"/>
        </w:rPr>
      </w:pPr>
      <w:r>
        <w:rPr>
          <w:szCs w:val="32"/>
        </w:rPr>
        <w:t>3.建设性质</w:t>
      </w:r>
    </w:p>
    <w:p>
      <w:pPr>
        <w:spacing w:line="600" w:lineRule="exact"/>
        <w:ind w:firstLine="640" w:firstLineChars="200"/>
        <w:rPr>
          <w:szCs w:val="32"/>
        </w:rPr>
      </w:pPr>
      <w:r>
        <w:rPr>
          <w:szCs w:val="32"/>
        </w:rPr>
        <w:t>新建、改扩建</w:t>
      </w:r>
    </w:p>
    <w:p>
      <w:pPr>
        <w:spacing w:line="600" w:lineRule="exact"/>
        <w:rPr>
          <w:szCs w:val="32"/>
        </w:rPr>
      </w:pPr>
      <w:r>
        <w:rPr>
          <w:szCs w:val="32"/>
        </w:rPr>
        <w:t xml:space="preserve">    4.实施年限</w:t>
      </w:r>
    </w:p>
    <w:p>
      <w:pPr>
        <w:spacing w:line="600" w:lineRule="exact"/>
        <w:ind w:firstLine="640"/>
        <w:rPr>
          <w:szCs w:val="32"/>
        </w:rPr>
      </w:pPr>
      <w:r>
        <w:rPr>
          <w:szCs w:val="32"/>
        </w:rPr>
        <w:t>建设期1年。</w:t>
      </w:r>
    </w:p>
    <w:p>
      <w:pPr>
        <w:spacing w:line="600" w:lineRule="exact"/>
        <w:rPr>
          <w:szCs w:val="32"/>
        </w:rPr>
      </w:pPr>
      <w:r>
        <w:rPr>
          <w:szCs w:val="32"/>
        </w:rPr>
        <w:t xml:space="preserve">    5.估算投资</w:t>
      </w:r>
    </w:p>
    <w:p>
      <w:pPr>
        <w:spacing w:line="600" w:lineRule="exact"/>
        <w:ind w:firstLine="640"/>
        <w:rPr>
          <w:szCs w:val="32"/>
        </w:rPr>
      </w:pPr>
      <w:r>
        <w:rPr>
          <w:szCs w:val="32"/>
        </w:rPr>
        <w:t>项目投资控制在以下测算投资内</w:t>
      </w:r>
    </w:p>
    <w:p>
      <w:pPr>
        <w:spacing w:line="600" w:lineRule="exact"/>
        <w:ind w:firstLine="640"/>
        <w:rPr>
          <w:szCs w:val="32"/>
        </w:rPr>
      </w:pPr>
      <w:r>
        <w:rPr>
          <w:szCs w:val="32"/>
        </w:rPr>
        <w:t>建标核定面积×4000元/m</w:t>
      </w:r>
      <w:r>
        <w:rPr>
          <w:szCs w:val="32"/>
          <w:vertAlign w:val="superscript"/>
        </w:rPr>
        <w:t>2</w:t>
      </w:r>
      <w:r>
        <w:rPr>
          <w:szCs w:val="32"/>
        </w:rPr>
        <w:t>。</w:t>
      </w:r>
    </w:p>
    <w:p>
      <w:pPr>
        <w:spacing w:line="600" w:lineRule="exact"/>
        <w:ind w:firstLine="640"/>
        <w:rPr>
          <w:szCs w:val="32"/>
        </w:rPr>
      </w:pPr>
      <w:r>
        <w:rPr>
          <w:szCs w:val="32"/>
        </w:rPr>
        <w:t>6.资金来源初步方案</w:t>
      </w:r>
    </w:p>
    <w:p>
      <w:pPr>
        <w:spacing w:line="600" w:lineRule="exact"/>
        <w:ind w:firstLine="640"/>
        <w:rPr>
          <w:szCs w:val="32"/>
        </w:rPr>
      </w:pPr>
      <w:r>
        <w:rPr>
          <w:szCs w:val="32"/>
        </w:rPr>
        <w:t>政府投资（本级财政配套+中央预算内投资补助+自治区预算内投资补助）</w:t>
      </w:r>
    </w:p>
    <w:p>
      <w:pPr>
        <w:spacing w:line="600" w:lineRule="exact"/>
        <w:rPr>
          <w:szCs w:val="32"/>
        </w:rPr>
      </w:pPr>
      <w:r>
        <w:rPr>
          <w:szCs w:val="32"/>
        </w:rPr>
        <w:t xml:space="preserve">    7.经济社会效益</w:t>
      </w:r>
    </w:p>
    <w:p>
      <w:pPr>
        <w:spacing w:line="600" w:lineRule="exact"/>
        <w:rPr>
          <w:szCs w:val="32"/>
        </w:rPr>
      </w:pPr>
      <w:r>
        <w:rPr>
          <w:szCs w:val="32"/>
        </w:rPr>
        <w:t xml:space="preserve">   完善基层司法业务用房功能，提升基层治理能力水平。</w:t>
      </w:r>
    </w:p>
    <w:p>
      <w:pPr>
        <w:pStyle w:val="2"/>
        <w:widowControl w:val="0"/>
        <w:spacing w:before="0" w:after="0" w:line="600" w:lineRule="exact"/>
        <w:ind w:left="0" w:leftChars="0" w:firstLine="0" w:firstLineChars="0"/>
        <w:rPr>
          <w:rFonts w:ascii="Times New Roman" w:hAnsi="Times New Roman" w:eastAsia="仿宋_GB2312"/>
          <w:sz w:val="32"/>
          <w:szCs w:val="32"/>
          <w:lang w:eastAsia="zh-CN"/>
        </w:rPr>
      </w:pPr>
    </w:p>
    <w:p>
      <w:pPr>
        <w:spacing w:line="600" w:lineRule="exact"/>
        <w:jc w:val="center"/>
        <w:outlineLvl w:val="0"/>
        <w:rPr>
          <w:rFonts w:hint="eastAsia" w:eastAsia="方正小标宋_GBK"/>
          <w:sz w:val="44"/>
          <w:szCs w:val="44"/>
        </w:rPr>
      </w:pPr>
      <w:bookmarkStart w:id="773" w:name="_Toc16904"/>
    </w:p>
    <w:p>
      <w:pPr>
        <w:spacing w:line="600" w:lineRule="exact"/>
        <w:jc w:val="center"/>
        <w:outlineLvl w:val="0"/>
        <w:rPr>
          <w:rFonts w:hint="eastAsia" w:eastAsia="方正小标宋_GBK"/>
          <w:sz w:val="44"/>
          <w:szCs w:val="44"/>
        </w:rPr>
      </w:pPr>
    </w:p>
    <w:p>
      <w:pPr>
        <w:spacing w:line="600" w:lineRule="exact"/>
        <w:jc w:val="center"/>
        <w:outlineLvl w:val="0"/>
        <w:rPr>
          <w:rFonts w:hint="eastAsia" w:eastAsia="方正小标宋_GBK"/>
          <w:sz w:val="44"/>
          <w:szCs w:val="44"/>
        </w:rPr>
      </w:pPr>
    </w:p>
    <w:p>
      <w:pPr>
        <w:spacing w:line="600" w:lineRule="exact"/>
        <w:jc w:val="center"/>
        <w:outlineLvl w:val="0"/>
        <w:rPr>
          <w:rFonts w:hint="eastAsia" w:eastAsia="方正小标宋_GBK"/>
          <w:sz w:val="44"/>
          <w:szCs w:val="44"/>
        </w:rPr>
      </w:pPr>
    </w:p>
    <w:p>
      <w:pPr>
        <w:spacing w:line="600" w:lineRule="exact"/>
        <w:jc w:val="center"/>
        <w:outlineLvl w:val="0"/>
        <w:rPr>
          <w:rFonts w:hint="eastAsia" w:eastAsia="方正小标宋_GBK"/>
          <w:sz w:val="44"/>
          <w:szCs w:val="44"/>
        </w:rPr>
      </w:pPr>
    </w:p>
    <w:p>
      <w:pPr>
        <w:spacing w:line="600" w:lineRule="exact"/>
        <w:jc w:val="center"/>
        <w:outlineLvl w:val="0"/>
        <w:rPr>
          <w:rFonts w:hint="eastAsia" w:eastAsia="方正小标宋_GBK"/>
          <w:sz w:val="44"/>
          <w:szCs w:val="44"/>
        </w:rPr>
      </w:pPr>
    </w:p>
    <w:p>
      <w:pPr>
        <w:spacing w:line="600" w:lineRule="exact"/>
        <w:jc w:val="center"/>
        <w:outlineLvl w:val="0"/>
        <w:rPr>
          <w:rFonts w:eastAsia="黑体"/>
          <w:szCs w:val="32"/>
        </w:rPr>
      </w:pPr>
      <w:r>
        <w:rPr>
          <w:rFonts w:eastAsia="方正小标宋_GBK"/>
          <w:sz w:val="44"/>
          <w:szCs w:val="44"/>
        </w:rPr>
        <w:t>第十五部分  应急救援能力建设</w:t>
      </w:r>
      <w:bookmarkEnd w:id="773"/>
    </w:p>
    <w:p>
      <w:pPr>
        <w:spacing w:line="600" w:lineRule="exact"/>
        <w:ind w:firstLine="640" w:firstLineChars="200"/>
        <w:rPr>
          <w:rFonts w:eastAsia="楷体"/>
          <w:szCs w:val="32"/>
        </w:rPr>
      </w:pPr>
    </w:p>
    <w:p>
      <w:pPr>
        <w:spacing w:line="600" w:lineRule="exact"/>
        <w:ind w:firstLine="640"/>
        <w:outlineLvl w:val="1"/>
        <w:rPr>
          <w:rFonts w:eastAsia="黑体"/>
          <w:szCs w:val="32"/>
        </w:rPr>
      </w:pPr>
      <w:bookmarkStart w:id="774" w:name="_Toc25372"/>
      <w:r>
        <w:rPr>
          <w:rFonts w:eastAsia="黑体"/>
          <w:szCs w:val="32"/>
        </w:rPr>
        <w:t>一、应急能力建设</w:t>
      </w:r>
      <w:bookmarkEnd w:id="774"/>
    </w:p>
    <w:p>
      <w:pPr>
        <w:spacing w:line="600" w:lineRule="exact"/>
        <w:ind w:firstLine="640"/>
        <w:outlineLvl w:val="2"/>
        <w:rPr>
          <w:rFonts w:eastAsia="楷体"/>
          <w:szCs w:val="32"/>
        </w:rPr>
      </w:pPr>
      <w:bookmarkStart w:id="775" w:name="_Toc16869"/>
      <w:r>
        <w:rPr>
          <w:rFonts w:eastAsia="楷体"/>
          <w:szCs w:val="32"/>
        </w:rPr>
        <w:t>（一）综合防灾减灾能力建设项目</w:t>
      </w:r>
      <w:bookmarkEnd w:id="775"/>
    </w:p>
    <w:p>
      <w:pPr>
        <w:spacing w:line="600" w:lineRule="exact"/>
        <w:rPr>
          <w:szCs w:val="32"/>
        </w:rPr>
      </w:pPr>
      <w:r>
        <w:rPr>
          <w:b/>
          <w:bCs/>
          <w:szCs w:val="32"/>
        </w:rPr>
        <w:t>　</w:t>
      </w:r>
      <w:r>
        <w:rPr>
          <w:szCs w:val="32"/>
        </w:rPr>
        <w:t>　1.建设单位</w:t>
      </w:r>
    </w:p>
    <w:p>
      <w:pPr>
        <w:pStyle w:val="2"/>
        <w:widowControl w:val="0"/>
        <w:spacing w:before="0" w:after="0" w:line="60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××县（区）应急局</w:t>
      </w:r>
    </w:p>
    <w:p>
      <w:pPr>
        <w:spacing w:line="600" w:lineRule="exact"/>
        <w:rPr>
          <w:rFonts w:eastAsia="黑体"/>
          <w:szCs w:val="32"/>
        </w:rPr>
      </w:pPr>
      <w:r>
        <w:rPr>
          <w:rFonts w:eastAsia="黑体"/>
          <w:szCs w:val="32"/>
        </w:rPr>
        <w:t xml:space="preserve">   </w:t>
      </w:r>
      <w:r>
        <w:rPr>
          <w:szCs w:val="32"/>
        </w:rPr>
        <w:t xml:space="preserve"> 2.主要建设内容或规模</w:t>
      </w:r>
    </w:p>
    <w:p>
      <w:pPr>
        <w:spacing w:line="600" w:lineRule="exact"/>
        <w:rPr>
          <w:szCs w:val="32"/>
        </w:rPr>
      </w:pPr>
      <w:r>
        <w:rPr>
          <w:szCs w:val="32"/>
        </w:rPr>
        <w:t xml:space="preserve">    （1）救灾物资储备库。</w:t>
      </w:r>
    </w:p>
    <w:p>
      <w:pPr>
        <w:spacing w:line="600" w:lineRule="exact"/>
        <w:rPr>
          <w:szCs w:val="32"/>
        </w:rPr>
      </w:pPr>
      <w:r>
        <w:rPr>
          <w:szCs w:val="32"/>
        </w:rPr>
        <w:t xml:space="preserve">    （2）配套基础设施。</w:t>
      </w:r>
    </w:p>
    <w:p>
      <w:pPr>
        <w:spacing w:line="600" w:lineRule="exact"/>
        <w:rPr>
          <w:rFonts w:eastAsia="黑体"/>
          <w:szCs w:val="32"/>
        </w:rPr>
      </w:pPr>
      <w:r>
        <w:rPr>
          <w:rFonts w:eastAsia="黑体"/>
          <w:szCs w:val="32"/>
        </w:rPr>
        <w:t xml:space="preserve">   </w:t>
      </w:r>
      <w:r>
        <w:rPr>
          <w:szCs w:val="32"/>
        </w:rPr>
        <w:t xml:space="preserve"> 3.实施年限</w:t>
      </w:r>
    </w:p>
    <w:p>
      <w:pPr>
        <w:spacing w:line="600" w:lineRule="exact"/>
        <w:ind w:firstLine="640"/>
        <w:rPr>
          <w:szCs w:val="32"/>
        </w:rPr>
      </w:pPr>
      <w:r>
        <w:rPr>
          <w:szCs w:val="32"/>
        </w:rPr>
        <w:t>建设期控制在1-2年为宜。</w:t>
      </w:r>
    </w:p>
    <w:p>
      <w:pPr>
        <w:spacing w:line="600" w:lineRule="exact"/>
        <w:rPr>
          <w:szCs w:val="32"/>
        </w:rPr>
      </w:pPr>
      <w:r>
        <w:rPr>
          <w:szCs w:val="32"/>
        </w:rPr>
        <w:t xml:space="preserve">    4.估算投资</w:t>
      </w:r>
    </w:p>
    <w:p>
      <w:pPr>
        <w:spacing w:line="600" w:lineRule="exact"/>
        <w:rPr>
          <w:szCs w:val="32"/>
        </w:rPr>
      </w:pPr>
      <w:r>
        <w:rPr>
          <w:szCs w:val="32"/>
        </w:rPr>
        <w:t xml:space="preserve">    单个项目总投资控制在3000万元以内。工程体量大的项目可采取一次性规划，分期实施，单个立项的方式分批次建设。</w:t>
      </w:r>
    </w:p>
    <w:p>
      <w:pPr>
        <w:spacing w:line="600" w:lineRule="exact"/>
        <w:rPr>
          <w:szCs w:val="32"/>
        </w:rPr>
      </w:pPr>
      <w:r>
        <w:rPr>
          <w:szCs w:val="32"/>
        </w:rPr>
        <w:t xml:space="preserve">    5.资金来源初步方案</w:t>
      </w:r>
    </w:p>
    <w:p>
      <w:pPr>
        <w:spacing w:line="600" w:lineRule="exact"/>
        <w:ind w:firstLine="640"/>
        <w:rPr>
          <w:szCs w:val="32"/>
        </w:rPr>
      </w:pPr>
      <w:r>
        <w:rPr>
          <w:szCs w:val="32"/>
        </w:rPr>
        <w:t>政府投资（中央预算内投资补助＋地方预算内资金配套）</w:t>
      </w:r>
      <w:r>
        <w:rPr>
          <w:szCs w:val="32"/>
          <w:shd w:val="clear" w:color="auto" w:fill="FFFFFF"/>
        </w:rPr>
        <w:t>。</w:t>
      </w:r>
    </w:p>
    <w:p>
      <w:pPr>
        <w:spacing w:line="600" w:lineRule="exact"/>
        <w:rPr>
          <w:szCs w:val="32"/>
        </w:rPr>
      </w:pPr>
      <w:r>
        <w:rPr>
          <w:szCs w:val="32"/>
        </w:rPr>
        <w:t xml:space="preserve">    6.经济社会效益</w:t>
      </w:r>
    </w:p>
    <w:p>
      <w:pPr>
        <w:spacing w:line="600" w:lineRule="exact"/>
        <w:rPr>
          <w:szCs w:val="32"/>
        </w:rPr>
      </w:pPr>
      <w:r>
        <w:rPr>
          <w:szCs w:val="32"/>
        </w:rPr>
        <w:t>　　提升救灾物资储备能力，切实维护人民群众生命财产安全。</w:t>
      </w:r>
    </w:p>
    <w:p>
      <w:pPr>
        <w:spacing w:line="600" w:lineRule="exact"/>
        <w:outlineLvl w:val="2"/>
        <w:rPr>
          <w:rFonts w:eastAsia="楷体"/>
          <w:szCs w:val="32"/>
        </w:rPr>
      </w:pPr>
      <w:r>
        <w:rPr>
          <w:rFonts w:eastAsia="楷体"/>
          <w:szCs w:val="32"/>
        </w:rPr>
        <w:t xml:space="preserve">    </w:t>
      </w:r>
      <w:bookmarkStart w:id="776" w:name="_Toc27241"/>
      <w:r>
        <w:rPr>
          <w:rFonts w:eastAsia="楷体"/>
          <w:szCs w:val="32"/>
        </w:rPr>
        <w:t>（二）森林草原火灾救援能力建设项目</w:t>
      </w:r>
      <w:bookmarkEnd w:id="776"/>
    </w:p>
    <w:p>
      <w:pPr>
        <w:spacing w:line="600" w:lineRule="exact"/>
        <w:rPr>
          <w:szCs w:val="32"/>
        </w:rPr>
      </w:pPr>
      <w:r>
        <w:rPr>
          <w:b/>
          <w:bCs/>
          <w:szCs w:val="32"/>
        </w:rPr>
        <w:t>　　</w:t>
      </w:r>
      <w:r>
        <w:rPr>
          <w:szCs w:val="32"/>
        </w:rPr>
        <w:t>1.建设单位</w:t>
      </w:r>
    </w:p>
    <w:p>
      <w:pPr>
        <w:pStyle w:val="2"/>
        <w:widowControl w:val="0"/>
        <w:spacing w:before="0" w:after="0" w:line="60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××市、县（区）应急局</w:t>
      </w:r>
    </w:p>
    <w:p>
      <w:pPr>
        <w:spacing w:line="600" w:lineRule="exact"/>
        <w:rPr>
          <w:rFonts w:eastAsia="黑体"/>
          <w:szCs w:val="32"/>
        </w:rPr>
      </w:pPr>
      <w:r>
        <w:rPr>
          <w:rFonts w:eastAsia="黑体"/>
          <w:szCs w:val="32"/>
        </w:rPr>
        <w:t xml:space="preserve">   </w:t>
      </w:r>
      <w:r>
        <w:rPr>
          <w:szCs w:val="32"/>
        </w:rPr>
        <w:t xml:space="preserve"> 2.主要建设内容或规模</w:t>
      </w:r>
    </w:p>
    <w:p>
      <w:pPr>
        <w:pStyle w:val="2"/>
        <w:widowControl w:val="0"/>
        <w:spacing w:before="0" w:after="0" w:line="60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（1）森林草原火灾应急救援场站。</w:t>
      </w:r>
    </w:p>
    <w:p>
      <w:pPr>
        <w:pStyle w:val="2"/>
        <w:widowControl w:val="0"/>
        <w:spacing w:before="0" w:after="0" w:line="60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（2）配套基础设施场所用地、生活用房、应急物资库房、训练场所、停机坪（直升机）等。</w:t>
      </w:r>
    </w:p>
    <w:p>
      <w:pPr>
        <w:pStyle w:val="2"/>
        <w:widowControl w:val="0"/>
        <w:spacing w:before="0" w:after="0" w:line="600" w:lineRule="exact"/>
        <w:ind w:left="0" w:leftChars="0" w:firstLine="64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3.实施年限</w:t>
      </w:r>
    </w:p>
    <w:p>
      <w:pPr>
        <w:pStyle w:val="2"/>
        <w:widowControl w:val="0"/>
        <w:spacing w:before="0" w:after="0" w:line="60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建设期控制在1-2年为宜。</w:t>
      </w:r>
    </w:p>
    <w:p>
      <w:pPr>
        <w:spacing w:line="600" w:lineRule="exact"/>
        <w:ind w:firstLine="640"/>
        <w:rPr>
          <w:szCs w:val="32"/>
        </w:rPr>
      </w:pPr>
      <w:r>
        <w:rPr>
          <w:szCs w:val="32"/>
        </w:rPr>
        <w:t>4.估算投资</w:t>
      </w:r>
    </w:p>
    <w:p>
      <w:pPr>
        <w:spacing w:line="600" w:lineRule="exact"/>
        <w:ind w:firstLine="642"/>
        <w:rPr>
          <w:szCs w:val="32"/>
        </w:rPr>
      </w:pPr>
      <w:r>
        <w:rPr>
          <w:szCs w:val="32"/>
        </w:rPr>
        <w:t xml:space="preserve">单个项目总投资控制在4000万元以内。工程体量大的项目可采取一次性规划，分期实施，单个立项的方式分批次建设。    </w:t>
      </w:r>
    </w:p>
    <w:p>
      <w:pPr>
        <w:spacing w:line="600" w:lineRule="exact"/>
        <w:ind w:firstLine="642"/>
        <w:rPr>
          <w:szCs w:val="32"/>
        </w:rPr>
      </w:pPr>
      <w:r>
        <w:rPr>
          <w:szCs w:val="32"/>
        </w:rPr>
        <w:t>5.资金来源初步方案</w:t>
      </w:r>
    </w:p>
    <w:p>
      <w:pPr>
        <w:spacing w:line="600" w:lineRule="exact"/>
        <w:ind w:firstLine="640"/>
        <w:rPr>
          <w:szCs w:val="32"/>
        </w:rPr>
      </w:pPr>
      <w:r>
        <w:rPr>
          <w:szCs w:val="32"/>
        </w:rPr>
        <w:t>政府投资（中央预算内投资补助＋地方预算内资金配套）</w:t>
      </w:r>
      <w:r>
        <w:rPr>
          <w:szCs w:val="32"/>
          <w:shd w:val="clear" w:color="auto" w:fill="FFFFFF"/>
        </w:rPr>
        <w:t>。</w:t>
      </w:r>
    </w:p>
    <w:p>
      <w:pPr>
        <w:spacing w:line="600" w:lineRule="exact"/>
        <w:rPr>
          <w:szCs w:val="32"/>
        </w:rPr>
      </w:pPr>
      <w:r>
        <w:rPr>
          <w:szCs w:val="32"/>
        </w:rPr>
        <w:t xml:space="preserve">    6.经济社会效益</w:t>
      </w:r>
    </w:p>
    <w:p>
      <w:pPr>
        <w:spacing w:line="600" w:lineRule="exact"/>
        <w:rPr>
          <w:rFonts w:eastAsia="仿宋"/>
          <w:szCs w:val="32"/>
        </w:rPr>
      </w:pPr>
      <w:r>
        <w:rPr>
          <w:rFonts w:eastAsia="仿宋"/>
          <w:szCs w:val="32"/>
        </w:rPr>
        <w:t>　　加强森林草原火灾应急能力建设，切实维护自然生态资源及人民群众生命财产安全。</w:t>
      </w:r>
    </w:p>
    <w:p>
      <w:pPr>
        <w:spacing w:line="600" w:lineRule="exact"/>
        <w:ind w:firstLine="640" w:firstLineChars="200"/>
        <w:outlineLvl w:val="2"/>
        <w:rPr>
          <w:rFonts w:eastAsia="楷体"/>
          <w:szCs w:val="32"/>
        </w:rPr>
      </w:pPr>
      <w:bookmarkStart w:id="777" w:name="_Toc16755"/>
      <w:r>
        <w:rPr>
          <w:rFonts w:eastAsia="楷体"/>
          <w:szCs w:val="32"/>
        </w:rPr>
        <w:t>（三）应急避难场所和网格化队伍建设项目</w:t>
      </w:r>
      <w:bookmarkEnd w:id="777"/>
    </w:p>
    <w:p>
      <w:pPr>
        <w:spacing w:line="600" w:lineRule="exact"/>
        <w:rPr>
          <w:szCs w:val="32"/>
        </w:rPr>
      </w:pPr>
      <w:r>
        <w:rPr>
          <w:b/>
          <w:bCs/>
          <w:szCs w:val="32"/>
        </w:rPr>
        <w:t>　　</w:t>
      </w:r>
      <w:r>
        <w:rPr>
          <w:szCs w:val="32"/>
        </w:rPr>
        <w:t>1.建设单位</w:t>
      </w:r>
    </w:p>
    <w:p>
      <w:pPr>
        <w:pStyle w:val="2"/>
        <w:widowControl w:val="0"/>
        <w:spacing w:before="0" w:after="0" w:line="60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××市、县（区）应急局</w:t>
      </w:r>
    </w:p>
    <w:p>
      <w:pPr>
        <w:spacing w:line="600" w:lineRule="exact"/>
        <w:rPr>
          <w:szCs w:val="32"/>
        </w:rPr>
      </w:pPr>
      <w:r>
        <w:rPr>
          <w:szCs w:val="32"/>
        </w:rPr>
        <w:t xml:space="preserve">    2.主要建设内容或规模</w:t>
      </w:r>
    </w:p>
    <w:p>
      <w:pPr>
        <w:spacing w:line="600" w:lineRule="exact"/>
        <w:rPr>
          <w:szCs w:val="32"/>
        </w:rPr>
      </w:pPr>
      <w:r>
        <w:rPr>
          <w:szCs w:val="32"/>
        </w:rPr>
        <w:t>　　（1）标准化应急避难场所建设：建设内容主要包括应急指挥室、物资储备室、医疗急救室等设施，以及应急供水、应急供电、垃圾中转、移动公厕、污水处理等设施设备；</w:t>
      </w:r>
    </w:p>
    <w:p>
      <w:pPr>
        <w:spacing w:line="600" w:lineRule="exact"/>
        <w:rPr>
          <w:szCs w:val="32"/>
        </w:rPr>
      </w:pPr>
      <w:r>
        <w:rPr>
          <w:szCs w:val="32"/>
        </w:rPr>
        <w:t xml:space="preserve">    （2）网格化队伍建设：建设内容主要为应急管理救援网格化设施设备。</w:t>
      </w:r>
    </w:p>
    <w:p>
      <w:pPr>
        <w:spacing w:line="600" w:lineRule="exact"/>
        <w:ind w:firstLine="640" w:firstLineChars="200"/>
        <w:rPr>
          <w:szCs w:val="32"/>
        </w:rPr>
      </w:pPr>
      <w:r>
        <w:rPr>
          <w:szCs w:val="32"/>
        </w:rPr>
        <w:t>3.实施年限：</w:t>
      </w:r>
    </w:p>
    <w:p>
      <w:pPr>
        <w:spacing w:line="600" w:lineRule="exact"/>
        <w:ind w:firstLine="640"/>
        <w:rPr>
          <w:color w:val="000000"/>
          <w:szCs w:val="32"/>
        </w:rPr>
      </w:pPr>
      <w:r>
        <w:rPr>
          <w:color w:val="000000"/>
          <w:szCs w:val="32"/>
        </w:rPr>
        <w:t>建设期控制在1-2年为宜。</w:t>
      </w:r>
    </w:p>
    <w:p>
      <w:pPr>
        <w:spacing w:line="600" w:lineRule="exact"/>
        <w:ind w:firstLine="640"/>
        <w:rPr>
          <w:szCs w:val="32"/>
        </w:rPr>
      </w:pPr>
      <w:r>
        <w:rPr>
          <w:szCs w:val="32"/>
        </w:rPr>
        <w:t>4.估算投资：</w:t>
      </w:r>
    </w:p>
    <w:p>
      <w:pPr>
        <w:spacing w:line="600" w:lineRule="exact"/>
        <w:ind w:firstLine="640"/>
        <w:rPr>
          <w:szCs w:val="32"/>
        </w:rPr>
      </w:pPr>
      <w:r>
        <w:rPr>
          <w:szCs w:val="32"/>
        </w:rPr>
        <w:t>单个项目投资估算1000万元以内，分批次建设。</w:t>
      </w:r>
    </w:p>
    <w:p>
      <w:pPr>
        <w:spacing w:line="600" w:lineRule="exact"/>
        <w:rPr>
          <w:szCs w:val="32"/>
        </w:rPr>
      </w:pPr>
      <w:r>
        <w:rPr>
          <w:szCs w:val="32"/>
        </w:rPr>
        <w:t xml:space="preserve">    5.资金来源初步方案</w:t>
      </w:r>
    </w:p>
    <w:p>
      <w:pPr>
        <w:spacing w:line="600" w:lineRule="exact"/>
        <w:ind w:firstLine="640"/>
        <w:rPr>
          <w:szCs w:val="32"/>
        </w:rPr>
      </w:pPr>
      <w:r>
        <w:rPr>
          <w:szCs w:val="32"/>
        </w:rPr>
        <w:t>政府投资（中央预算内投资补助＋地方预算内资金配套）</w:t>
      </w:r>
      <w:r>
        <w:rPr>
          <w:szCs w:val="32"/>
          <w:shd w:val="clear" w:color="auto" w:fill="FFFFFF"/>
        </w:rPr>
        <w:t>。</w:t>
      </w:r>
    </w:p>
    <w:p>
      <w:pPr>
        <w:spacing w:line="600" w:lineRule="exact"/>
        <w:rPr>
          <w:szCs w:val="32"/>
        </w:rPr>
      </w:pPr>
      <w:r>
        <w:rPr>
          <w:szCs w:val="32"/>
        </w:rPr>
        <w:t xml:space="preserve">    6.经济社会效益</w:t>
      </w:r>
    </w:p>
    <w:p>
      <w:pPr>
        <w:spacing w:line="600" w:lineRule="exact"/>
        <w:rPr>
          <w:szCs w:val="32"/>
        </w:rPr>
      </w:pPr>
      <w:r>
        <w:rPr>
          <w:szCs w:val="32"/>
        </w:rPr>
        <w:t>　　优化自治区城市应急救援场所布局，推进城市安全“网格化”管理建设，提升城市应急救援和安全治理能力，切实维护人民群众生命财产安全。</w:t>
      </w:r>
    </w:p>
    <w:p>
      <w:pPr>
        <w:pStyle w:val="2"/>
        <w:widowControl w:val="0"/>
        <w:numPr>
          <w:ilvl w:val="0"/>
          <w:numId w:val="9"/>
        </w:numPr>
        <w:spacing w:before="0" w:after="0" w:line="600" w:lineRule="exact"/>
        <w:ind w:left="0" w:leftChars="0" w:firstLine="640"/>
        <w:outlineLvl w:val="1"/>
        <w:rPr>
          <w:rFonts w:ascii="Times New Roman" w:hAnsi="Times New Roman" w:eastAsia="黑体"/>
          <w:sz w:val="32"/>
          <w:szCs w:val="32"/>
          <w:lang w:val="en-US" w:eastAsia="zh-CN"/>
        </w:rPr>
      </w:pPr>
      <w:bookmarkStart w:id="778" w:name="_Toc11524"/>
      <w:r>
        <w:rPr>
          <w:rFonts w:ascii="Times New Roman" w:hAnsi="Times New Roman" w:eastAsia="黑体"/>
          <w:sz w:val="32"/>
          <w:szCs w:val="32"/>
          <w:lang w:val="en-US" w:eastAsia="zh-CN"/>
        </w:rPr>
        <w:t>消防应急能力</w:t>
      </w:r>
      <w:bookmarkEnd w:id="778"/>
    </w:p>
    <w:p>
      <w:pPr>
        <w:spacing w:line="600" w:lineRule="exact"/>
        <w:ind w:firstLine="640" w:firstLineChars="200"/>
        <w:outlineLvl w:val="2"/>
        <w:rPr>
          <w:rFonts w:eastAsia="楷体"/>
          <w:szCs w:val="32"/>
        </w:rPr>
      </w:pPr>
      <w:bookmarkStart w:id="779" w:name="_Toc12532"/>
      <w:r>
        <w:rPr>
          <w:rFonts w:eastAsia="楷体"/>
          <w:szCs w:val="32"/>
        </w:rPr>
        <w:t>（一）城市消防站建设项目</w:t>
      </w:r>
      <w:bookmarkEnd w:id="779"/>
    </w:p>
    <w:p>
      <w:pPr>
        <w:spacing w:line="600" w:lineRule="exact"/>
        <w:rPr>
          <w:szCs w:val="32"/>
        </w:rPr>
      </w:pPr>
      <w:r>
        <w:rPr>
          <w:b/>
          <w:bCs/>
          <w:szCs w:val="32"/>
        </w:rPr>
        <w:t xml:space="preserve">   </w:t>
      </w:r>
      <w:r>
        <w:rPr>
          <w:szCs w:val="32"/>
        </w:rPr>
        <w:t xml:space="preserve"> 1.建设单位</w:t>
      </w:r>
    </w:p>
    <w:p>
      <w:pPr>
        <w:pStyle w:val="2"/>
        <w:widowControl w:val="0"/>
        <w:spacing w:before="0" w:after="0" w:line="60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××市应急管理局、消防救援支队、工程代建局〔或××县（区）应急管理局、消防救援大队〕</w:t>
      </w:r>
    </w:p>
    <w:p>
      <w:pPr>
        <w:spacing w:line="600" w:lineRule="exact"/>
        <w:rPr>
          <w:rFonts w:eastAsia="黑体"/>
          <w:szCs w:val="32"/>
        </w:rPr>
      </w:pPr>
      <w:r>
        <w:rPr>
          <w:rFonts w:eastAsia="黑体"/>
          <w:szCs w:val="32"/>
        </w:rPr>
        <w:t xml:space="preserve">   </w:t>
      </w:r>
      <w:r>
        <w:rPr>
          <w:szCs w:val="32"/>
        </w:rPr>
        <w:t xml:space="preserve"> 2.主要建设内容或规模</w:t>
      </w:r>
    </w:p>
    <w:p>
      <w:pPr>
        <w:spacing w:line="600" w:lineRule="exact"/>
        <w:rPr>
          <w:szCs w:val="32"/>
        </w:rPr>
      </w:pPr>
      <w:r>
        <w:rPr>
          <w:szCs w:val="32"/>
        </w:rPr>
        <w:t xml:space="preserve">    （1）执勤业务用房。</w:t>
      </w:r>
    </w:p>
    <w:p>
      <w:pPr>
        <w:spacing w:line="600" w:lineRule="exact"/>
        <w:rPr>
          <w:szCs w:val="32"/>
        </w:rPr>
      </w:pPr>
      <w:r>
        <w:rPr>
          <w:szCs w:val="32"/>
        </w:rPr>
        <w:t xml:space="preserve">    （2）配套基础设施：门房、训练塔、室外训练场、餐厅、器材库等。</w:t>
      </w:r>
    </w:p>
    <w:p>
      <w:pPr>
        <w:spacing w:line="600" w:lineRule="exact"/>
        <w:rPr>
          <w:rFonts w:eastAsia="黑体"/>
          <w:szCs w:val="32"/>
        </w:rPr>
      </w:pPr>
      <w:r>
        <w:rPr>
          <w:rFonts w:eastAsia="黑体"/>
          <w:szCs w:val="32"/>
        </w:rPr>
        <w:t xml:space="preserve">   </w:t>
      </w:r>
      <w:r>
        <w:rPr>
          <w:szCs w:val="32"/>
        </w:rPr>
        <w:t xml:space="preserve"> 3.实施年限</w:t>
      </w:r>
    </w:p>
    <w:p>
      <w:pPr>
        <w:spacing w:line="600" w:lineRule="exact"/>
        <w:ind w:firstLine="640"/>
        <w:rPr>
          <w:szCs w:val="32"/>
        </w:rPr>
      </w:pPr>
      <w:r>
        <w:rPr>
          <w:szCs w:val="32"/>
        </w:rPr>
        <w:t>建设期控制在1-2年为宜。</w:t>
      </w:r>
    </w:p>
    <w:p>
      <w:pPr>
        <w:spacing w:line="600" w:lineRule="exact"/>
        <w:rPr>
          <w:szCs w:val="32"/>
        </w:rPr>
      </w:pPr>
      <w:r>
        <w:rPr>
          <w:szCs w:val="32"/>
        </w:rPr>
        <w:t xml:space="preserve">    4.估算投资</w:t>
      </w:r>
    </w:p>
    <w:p>
      <w:pPr>
        <w:spacing w:line="600" w:lineRule="exact"/>
        <w:rPr>
          <w:szCs w:val="32"/>
        </w:rPr>
      </w:pPr>
      <w:r>
        <w:rPr>
          <w:szCs w:val="32"/>
        </w:rPr>
        <w:t xml:space="preserve">    单个项目总投资控制在2000万元以内。工程体量大的项目可采取一次性规划，分期实施，单个立项的方式分批次建设。</w:t>
      </w:r>
    </w:p>
    <w:p>
      <w:pPr>
        <w:spacing w:line="600" w:lineRule="exact"/>
        <w:rPr>
          <w:szCs w:val="32"/>
        </w:rPr>
      </w:pPr>
      <w:r>
        <w:rPr>
          <w:szCs w:val="32"/>
        </w:rPr>
        <w:t xml:space="preserve">    5.资金来源初步方案</w:t>
      </w:r>
    </w:p>
    <w:p>
      <w:pPr>
        <w:spacing w:line="600" w:lineRule="exact"/>
        <w:ind w:firstLine="640"/>
        <w:rPr>
          <w:b/>
          <w:bCs/>
          <w:szCs w:val="32"/>
        </w:rPr>
      </w:pPr>
      <w:r>
        <w:rPr>
          <w:szCs w:val="32"/>
        </w:rPr>
        <w:t>政府投资</w:t>
      </w:r>
      <w:r>
        <w:rPr>
          <w:szCs w:val="32"/>
          <w:shd w:val="clear" w:color="auto" w:fill="FFFFFF"/>
        </w:rPr>
        <w:t>。</w:t>
      </w:r>
    </w:p>
    <w:p>
      <w:pPr>
        <w:spacing w:line="600" w:lineRule="exact"/>
        <w:ind w:firstLine="640" w:firstLineChars="200"/>
        <w:outlineLvl w:val="2"/>
        <w:rPr>
          <w:rFonts w:eastAsia="楷体"/>
          <w:szCs w:val="32"/>
        </w:rPr>
      </w:pPr>
      <w:bookmarkStart w:id="780" w:name="_Toc18214"/>
      <w:r>
        <w:rPr>
          <w:rFonts w:eastAsia="楷体"/>
          <w:szCs w:val="32"/>
        </w:rPr>
        <w:t>（二）战勤保障基地建设项目</w:t>
      </w:r>
      <w:bookmarkEnd w:id="780"/>
    </w:p>
    <w:p>
      <w:pPr>
        <w:spacing w:line="600" w:lineRule="exact"/>
        <w:rPr>
          <w:szCs w:val="32"/>
        </w:rPr>
      </w:pPr>
      <w:r>
        <w:rPr>
          <w:b/>
          <w:bCs/>
          <w:szCs w:val="32"/>
        </w:rPr>
        <w:t>　　</w:t>
      </w:r>
      <w:r>
        <w:rPr>
          <w:szCs w:val="32"/>
        </w:rPr>
        <w:t>1.建设单位</w:t>
      </w:r>
    </w:p>
    <w:p>
      <w:pPr>
        <w:pStyle w:val="2"/>
        <w:widowControl w:val="0"/>
        <w:spacing w:before="0" w:after="0" w:line="60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××消防救援支队</w:t>
      </w:r>
    </w:p>
    <w:p>
      <w:pPr>
        <w:spacing w:line="600" w:lineRule="exact"/>
        <w:rPr>
          <w:rFonts w:eastAsia="黑体"/>
          <w:szCs w:val="32"/>
        </w:rPr>
      </w:pPr>
      <w:r>
        <w:rPr>
          <w:rFonts w:eastAsia="黑体"/>
          <w:szCs w:val="32"/>
        </w:rPr>
        <w:t xml:space="preserve">   </w:t>
      </w:r>
      <w:r>
        <w:rPr>
          <w:szCs w:val="32"/>
        </w:rPr>
        <w:t xml:space="preserve"> 2.主要建设内容或规模</w:t>
      </w:r>
    </w:p>
    <w:p>
      <w:pPr>
        <w:spacing w:line="600" w:lineRule="exact"/>
        <w:rPr>
          <w:szCs w:val="32"/>
        </w:rPr>
      </w:pPr>
      <w:r>
        <w:rPr>
          <w:szCs w:val="32"/>
        </w:rPr>
        <w:t xml:space="preserve">    （1）执勤业务用房。</w:t>
      </w:r>
    </w:p>
    <w:p>
      <w:pPr>
        <w:spacing w:line="600" w:lineRule="exact"/>
        <w:rPr>
          <w:szCs w:val="32"/>
        </w:rPr>
      </w:pPr>
      <w:r>
        <w:rPr>
          <w:szCs w:val="32"/>
        </w:rPr>
        <w:t xml:space="preserve">    （2）配套基础设施：门房、室外训练场、餐厅、物资储备库等。</w:t>
      </w:r>
    </w:p>
    <w:p>
      <w:pPr>
        <w:spacing w:line="600" w:lineRule="exact"/>
        <w:rPr>
          <w:rFonts w:eastAsia="黑体"/>
          <w:szCs w:val="32"/>
        </w:rPr>
      </w:pPr>
      <w:r>
        <w:rPr>
          <w:rFonts w:eastAsia="黑体"/>
          <w:szCs w:val="32"/>
        </w:rPr>
        <w:t xml:space="preserve">   </w:t>
      </w:r>
      <w:r>
        <w:rPr>
          <w:szCs w:val="32"/>
        </w:rPr>
        <w:t xml:space="preserve"> 3.实施年限</w:t>
      </w:r>
    </w:p>
    <w:p>
      <w:pPr>
        <w:spacing w:line="600" w:lineRule="exact"/>
        <w:ind w:firstLine="640"/>
        <w:rPr>
          <w:szCs w:val="32"/>
        </w:rPr>
      </w:pPr>
      <w:r>
        <w:rPr>
          <w:szCs w:val="32"/>
        </w:rPr>
        <w:t>建设期控制在1-2年为宜。</w:t>
      </w:r>
    </w:p>
    <w:p>
      <w:pPr>
        <w:spacing w:line="600" w:lineRule="exact"/>
        <w:rPr>
          <w:szCs w:val="32"/>
        </w:rPr>
      </w:pPr>
      <w:r>
        <w:rPr>
          <w:szCs w:val="32"/>
        </w:rPr>
        <w:t xml:space="preserve">    4.估算投资</w:t>
      </w:r>
    </w:p>
    <w:p>
      <w:pPr>
        <w:spacing w:line="600" w:lineRule="exact"/>
        <w:rPr>
          <w:szCs w:val="32"/>
        </w:rPr>
      </w:pPr>
      <w:r>
        <w:rPr>
          <w:szCs w:val="32"/>
        </w:rPr>
        <w:t xml:space="preserve">    单个项目总投资控制在2000万元以内。工程体量大的项目可采取一次性规划，分期实施，单个立项的方式分批次建设。</w:t>
      </w:r>
    </w:p>
    <w:p>
      <w:pPr>
        <w:spacing w:line="600" w:lineRule="exact"/>
        <w:rPr>
          <w:szCs w:val="32"/>
        </w:rPr>
      </w:pPr>
      <w:r>
        <w:rPr>
          <w:szCs w:val="32"/>
        </w:rPr>
        <w:t xml:space="preserve">    5.资金来源初步方案</w:t>
      </w:r>
    </w:p>
    <w:p>
      <w:pPr>
        <w:spacing w:line="600" w:lineRule="exact"/>
        <w:ind w:firstLine="640"/>
        <w:rPr>
          <w:szCs w:val="32"/>
        </w:rPr>
      </w:pPr>
      <w:r>
        <w:rPr>
          <w:szCs w:val="32"/>
        </w:rPr>
        <w:t>政府投资</w:t>
      </w:r>
      <w:r>
        <w:rPr>
          <w:szCs w:val="32"/>
          <w:shd w:val="clear" w:color="auto" w:fill="FFFFFF"/>
        </w:rPr>
        <w:t>。</w:t>
      </w:r>
    </w:p>
    <w:p>
      <w:pPr>
        <w:spacing w:line="600" w:lineRule="exact"/>
        <w:rPr>
          <w:szCs w:val="32"/>
        </w:rPr>
      </w:pPr>
      <w:r>
        <w:rPr>
          <w:szCs w:val="32"/>
        </w:rPr>
        <w:t xml:space="preserve">    6.经济社会效益</w:t>
      </w:r>
    </w:p>
    <w:p>
      <w:pPr>
        <w:pStyle w:val="2"/>
        <w:widowControl w:val="0"/>
        <w:spacing w:before="0" w:after="0" w:line="600" w:lineRule="exact"/>
        <w:ind w:left="0" w:leftChars="0" w:firstLine="640"/>
        <w:rPr>
          <w:rFonts w:ascii="Times New Roman" w:hAnsi="Times New Roman" w:eastAsia="仿宋_GB2312"/>
          <w:color w:val="auto"/>
          <w:sz w:val="32"/>
          <w:szCs w:val="32"/>
          <w:lang w:val="en-US" w:eastAsia="zh-CN"/>
        </w:rPr>
      </w:pPr>
      <w:r>
        <w:rPr>
          <w:rFonts w:ascii="Times New Roman" w:hAnsi="Times New Roman" w:eastAsia="仿宋_GB2312"/>
          <w:color w:val="auto"/>
          <w:sz w:val="32"/>
          <w:szCs w:val="32"/>
          <w:lang w:val="en-US" w:eastAsia="zh-CN"/>
        </w:rPr>
        <w:t>提升城市消防应急能力和车辆配备、物资储备能力，满足城市范围内灭火救援应急保障任务。</w:t>
      </w:r>
    </w:p>
    <w:p>
      <w:pPr>
        <w:spacing w:line="600" w:lineRule="exact"/>
        <w:outlineLvl w:val="2"/>
        <w:rPr>
          <w:rFonts w:eastAsia="楷体"/>
          <w:szCs w:val="32"/>
        </w:rPr>
      </w:pPr>
      <w:r>
        <w:rPr>
          <w:rFonts w:eastAsia="楷体"/>
          <w:szCs w:val="32"/>
        </w:rPr>
        <w:t xml:space="preserve">    </w:t>
      </w:r>
      <w:bookmarkStart w:id="781" w:name="_Toc31932"/>
      <w:r>
        <w:rPr>
          <w:rFonts w:eastAsia="楷体"/>
          <w:szCs w:val="32"/>
        </w:rPr>
        <w:t>（三）支队级训练基地建设项目</w:t>
      </w:r>
      <w:bookmarkEnd w:id="781"/>
    </w:p>
    <w:p>
      <w:pPr>
        <w:spacing w:line="600" w:lineRule="exact"/>
        <w:rPr>
          <w:szCs w:val="32"/>
        </w:rPr>
      </w:pPr>
      <w:r>
        <w:rPr>
          <w:b/>
          <w:bCs/>
          <w:szCs w:val="32"/>
        </w:rPr>
        <w:t>　　</w:t>
      </w:r>
      <w:r>
        <w:rPr>
          <w:szCs w:val="32"/>
        </w:rPr>
        <w:t>1.建设单位</w:t>
      </w:r>
    </w:p>
    <w:p>
      <w:pPr>
        <w:pStyle w:val="2"/>
        <w:widowControl w:val="0"/>
        <w:spacing w:before="0" w:after="0" w:line="60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××市消防救援支队</w:t>
      </w:r>
    </w:p>
    <w:p>
      <w:pPr>
        <w:spacing w:line="600" w:lineRule="exact"/>
        <w:rPr>
          <w:rFonts w:eastAsia="黑体"/>
          <w:szCs w:val="32"/>
        </w:rPr>
      </w:pPr>
      <w:r>
        <w:rPr>
          <w:rFonts w:eastAsia="黑体"/>
          <w:szCs w:val="32"/>
        </w:rPr>
        <w:t xml:space="preserve">   </w:t>
      </w:r>
      <w:r>
        <w:rPr>
          <w:szCs w:val="32"/>
        </w:rPr>
        <w:t xml:space="preserve"> 2.主要建设内容或规模</w:t>
      </w:r>
    </w:p>
    <w:p>
      <w:pPr>
        <w:spacing w:line="600" w:lineRule="exact"/>
        <w:rPr>
          <w:szCs w:val="32"/>
        </w:rPr>
      </w:pPr>
      <w:r>
        <w:rPr>
          <w:szCs w:val="32"/>
        </w:rPr>
        <w:t xml:space="preserve">    （1）执勤业务用房。</w:t>
      </w:r>
    </w:p>
    <w:p>
      <w:pPr>
        <w:spacing w:line="600" w:lineRule="exact"/>
        <w:rPr>
          <w:szCs w:val="32"/>
        </w:rPr>
      </w:pPr>
      <w:r>
        <w:rPr>
          <w:szCs w:val="32"/>
        </w:rPr>
        <w:t xml:space="preserve">    （2）配套基础设施：门房、综合训练楼、室外训练场、餐厅、各类训练设施等。</w:t>
      </w:r>
    </w:p>
    <w:p>
      <w:pPr>
        <w:spacing w:line="600" w:lineRule="exact"/>
        <w:rPr>
          <w:rFonts w:eastAsia="黑体"/>
          <w:szCs w:val="32"/>
        </w:rPr>
      </w:pPr>
      <w:r>
        <w:rPr>
          <w:rFonts w:eastAsia="黑体"/>
          <w:szCs w:val="32"/>
        </w:rPr>
        <w:t xml:space="preserve">   </w:t>
      </w:r>
      <w:r>
        <w:rPr>
          <w:szCs w:val="32"/>
        </w:rPr>
        <w:t xml:space="preserve"> 3.实施年限</w:t>
      </w:r>
    </w:p>
    <w:p>
      <w:pPr>
        <w:spacing w:line="600" w:lineRule="exact"/>
        <w:ind w:firstLine="640"/>
        <w:rPr>
          <w:szCs w:val="32"/>
        </w:rPr>
      </w:pPr>
      <w:r>
        <w:rPr>
          <w:szCs w:val="32"/>
        </w:rPr>
        <w:t>建设期控制在1-2年为宜。</w:t>
      </w:r>
    </w:p>
    <w:p>
      <w:pPr>
        <w:spacing w:line="600" w:lineRule="exact"/>
        <w:rPr>
          <w:szCs w:val="32"/>
        </w:rPr>
      </w:pPr>
      <w:r>
        <w:rPr>
          <w:szCs w:val="32"/>
        </w:rPr>
        <w:t xml:space="preserve">    4.估算投资</w:t>
      </w:r>
    </w:p>
    <w:p>
      <w:pPr>
        <w:spacing w:line="600" w:lineRule="exact"/>
        <w:rPr>
          <w:szCs w:val="32"/>
        </w:rPr>
      </w:pPr>
      <w:r>
        <w:rPr>
          <w:szCs w:val="32"/>
        </w:rPr>
        <w:t xml:space="preserve">    单个项目总投资控制在3000万元以内。工程体量大的项目可采取一次性规划，分期实施，单个立项的方式分批次建设。</w:t>
      </w:r>
    </w:p>
    <w:p>
      <w:pPr>
        <w:spacing w:line="600" w:lineRule="exact"/>
        <w:rPr>
          <w:szCs w:val="32"/>
        </w:rPr>
      </w:pPr>
      <w:r>
        <w:rPr>
          <w:szCs w:val="32"/>
        </w:rPr>
        <w:t xml:space="preserve">    5.资金来源初步方案</w:t>
      </w:r>
    </w:p>
    <w:p>
      <w:pPr>
        <w:spacing w:line="600" w:lineRule="exact"/>
        <w:ind w:firstLine="640"/>
        <w:rPr>
          <w:szCs w:val="32"/>
        </w:rPr>
      </w:pPr>
      <w:r>
        <w:rPr>
          <w:szCs w:val="32"/>
        </w:rPr>
        <w:t>政府投资</w:t>
      </w:r>
      <w:r>
        <w:rPr>
          <w:szCs w:val="32"/>
          <w:shd w:val="clear" w:color="auto" w:fill="FFFFFF"/>
        </w:rPr>
        <w:t>。</w:t>
      </w:r>
    </w:p>
    <w:p>
      <w:pPr>
        <w:spacing w:line="600" w:lineRule="exact"/>
        <w:rPr>
          <w:szCs w:val="32"/>
        </w:rPr>
      </w:pPr>
      <w:r>
        <w:rPr>
          <w:szCs w:val="32"/>
        </w:rPr>
        <w:t xml:space="preserve">    6.经济社会效益</w:t>
      </w:r>
    </w:p>
    <w:p>
      <w:pPr>
        <w:pStyle w:val="2"/>
        <w:widowControl w:val="0"/>
        <w:spacing w:before="0" w:after="0" w:line="600" w:lineRule="exact"/>
        <w:ind w:left="0" w:leftChars="0" w:firstLine="640" w:firstLineChars="0"/>
        <w:rPr>
          <w:rFonts w:ascii="Times New Roman" w:hAnsi="Times New Roman" w:eastAsia="仿宋_GB2312"/>
          <w:color w:val="auto"/>
          <w:sz w:val="32"/>
          <w:szCs w:val="32"/>
          <w:lang w:val="en-US" w:eastAsia="zh-CN"/>
        </w:rPr>
      </w:pPr>
      <w:r>
        <w:rPr>
          <w:rFonts w:ascii="Times New Roman" w:hAnsi="Times New Roman" w:eastAsia="仿宋_GB2312"/>
          <w:color w:val="auto"/>
          <w:sz w:val="32"/>
          <w:szCs w:val="32"/>
          <w:lang w:val="en-US" w:eastAsia="zh-CN"/>
        </w:rPr>
        <w:t>有效解决现有消防救援模拟化、实战化训练场地不足，推动完善消防综合救援体系建设，完善消防救援队伍专业化，深化实战实训，强化专业训练，建强科学高效、专业精准的消防救援队伍，提高城市消防救援力量综合能力，保障人民生命财产安全。</w:t>
      </w:r>
    </w:p>
    <w:p>
      <w:pPr>
        <w:numPr>
          <w:ilvl w:val="0"/>
          <w:numId w:val="9"/>
        </w:numPr>
        <w:spacing w:line="600" w:lineRule="exact"/>
        <w:ind w:firstLine="640" w:firstLineChars="200"/>
        <w:outlineLvl w:val="1"/>
        <w:rPr>
          <w:rFonts w:eastAsia="黑体"/>
          <w:szCs w:val="32"/>
        </w:rPr>
      </w:pPr>
      <w:bookmarkStart w:id="782" w:name="_Toc6377"/>
      <w:r>
        <w:rPr>
          <w:rFonts w:eastAsia="黑体"/>
          <w:szCs w:val="32"/>
        </w:rPr>
        <w:t>粮食安全保障调控和应急设施</w:t>
      </w:r>
      <w:bookmarkEnd w:id="782"/>
    </w:p>
    <w:p>
      <w:pPr>
        <w:spacing w:line="600" w:lineRule="exact"/>
        <w:rPr>
          <w:szCs w:val="32"/>
        </w:rPr>
      </w:pPr>
      <w:r>
        <w:rPr>
          <w:szCs w:val="32"/>
        </w:rPr>
        <w:t xml:space="preserve">    1. 建设单位</w:t>
      </w:r>
    </w:p>
    <w:p>
      <w:pPr>
        <w:pStyle w:val="2"/>
        <w:widowControl w:val="0"/>
        <w:spacing w:before="0" w:after="0" w:line="600" w:lineRule="exact"/>
        <w:ind w:left="0" w:leftChars="0" w:firstLine="0" w:firstLineChars="0"/>
        <w:rPr>
          <w:rFonts w:ascii="Times New Roman" w:hAnsi="Times New Roman" w:eastAsia="仿宋_GB2312"/>
          <w:sz w:val="32"/>
          <w:szCs w:val="32"/>
          <w:lang w:val="en-US" w:eastAsia="zh-CN"/>
        </w:rPr>
      </w:pPr>
      <w:r>
        <w:rPr>
          <w:rFonts w:ascii="Times New Roman" w:hAnsi="Times New Roman" w:eastAsia="仿宋_GB2312"/>
          <w:sz w:val="32"/>
          <w:szCs w:val="32"/>
          <w:lang w:val="en-US" w:eastAsia="zh-CN"/>
        </w:rPr>
        <w:t xml:space="preserve">     粮食储备库和粮食企业</w:t>
      </w:r>
    </w:p>
    <w:p>
      <w:pPr>
        <w:spacing w:line="600" w:lineRule="exact"/>
        <w:ind w:firstLine="640" w:firstLineChars="200"/>
        <w:rPr>
          <w:szCs w:val="32"/>
        </w:rPr>
      </w:pPr>
      <w:r>
        <w:rPr>
          <w:szCs w:val="32"/>
        </w:rPr>
        <w:t xml:space="preserve"> 2. 主要建设内容或规模</w:t>
      </w:r>
    </w:p>
    <w:p>
      <w:pPr>
        <w:spacing w:line="600" w:lineRule="exact"/>
        <w:rPr>
          <w:szCs w:val="32"/>
        </w:rPr>
      </w:pPr>
      <w:r>
        <w:rPr>
          <w:szCs w:val="32"/>
        </w:rPr>
        <w:t xml:space="preserve">    （1）铁路散粮运输系统工程，包括粮食专用码头、铁路专用线、散粮中转及配套接发设施、设备，散粮运输专用工具（铁路散粮专用车皮、散粮汽车），成品粮装卸工具（叉车、托盘等）；实现粮食年运量30万吨或4000标准箱以上。</w:t>
      </w:r>
    </w:p>
    <w:p>
      <w:pPr>
        <w:spacing w:line="600" w:lineRule="exact"/>
        <w:rPr>
          <w:szCs w:val="32"/>
        </w:rPr>
      </w:pPr>
      <w:r>
        <w:rPr>
          <w:szCs w:val="32"/>
        </w:rPr>
        <w:t xml:space="preserve">   （2）粮食仓储设施项目，包括粮食收储库、大中城市成品粮储备库、成品粮油应急低温储备库，散粮运输专用工具（铁路散粮专用车皮、散粮汽车），成品粮装卸工具（叉车、托盘等）；标准化储备仓单个项目不低于2.5万吨，收纳仓不低于1万吨，大中城市成品粮储备库单个项目建仓规模不低于3000吨。</w:t>
      </w:r>
    </w:p>
    <w:p>
      <w:pPr>
        <w:spacing w:line="600" w:lineRule="exact"/>
        <w:rPr>
          <w:szCs w:val="32"/>
        </w:rPr>
      </w:pPr>
      <w:r>
        <w:rPr>
          <w:szCs w:val="32"/>
        </w:rPr>
        <w:t xml:space="preserve">   （3）应急配送中心项目。以现有成品粮油批发市场、骨干应急加工企业、粮食购销企业等为依托，改造建设一批区域性骨干粮油应急配送中心，提高应急保障能力。依托成品粮批发市场，年交易量30万吨以上，通过新建或改建（加装隔热、防潮、调温等设施）方式，新形成成品粮油应急低温储备库不低于3000吨；依托骨干应急加工企业和粮食购销企业的，新形成仓容不低于2000吨。</w:t>
      </w:r>
    </w:p>
    <w:p>
      <w:pPr>
        <w:spacing w:line="600" w:lineRule="exact"/>
        <w:rPr>
          <w:szCs w:val="32"/>
        </w:rPr>
      </w:pPr>
      <w:r>
        <w:rPr>
          <w:szCs w:val="32"/>
        </w:rPr>
        <w:t xml:space="preserve">   （4）建立区域性粮食物流公共信息平台，提升粮食物流信息监管和共享水平。鼓励大型粮食企业建设粮食物流信息化服务平台，为企业、消费者与政府部门提供第三方服务。</w:t>
      </w:r>
    </w:p>
    <w:p>
      <w:pPr>
        <w:spacing w:line="600" w:lineRule="exact"/>
        <w:rPr>
          <w:szCs w:val="32"/>
        </w:rPr>
      </w:pPr>
      <w:r>
        <w:rPr>
          <w:szCs w:val="32"/>
        </w:rPr>
        <w:t xml:space="preserve">    3. 建设性质</w:t>
      </w:r>
    </w:p>
    <w:p>
      <w:pPr>
        <w:spacing w:line="600" w:lineRule="exact"/>
        <w:ind w:firstLine="640" w:firstLineChars="200"/>
        <w:rPr>
          <w:szCs w:val="32"/>
        </w:rPr>
      </w:pPr>
      <w:r>
        <w:rPr>
          <w:szCs w:val="32"/>
        </w:rPr>
        <w:t>新建、续建、改扩建</w:t>
      </w:r>
    </w:p>
    <w:p>
      <w:pPr>
        <w:spacing w:line="600" w:lineRule="exact"/>
        <w:ind w:firstLine="640" w:firstLineChars="200"/>
        <w:rPr>
          <w:szCs w:val="32"/>
        </w:rPr>
      </w:pPr>
      <w:r>
        <w:rPr>
          <w:szCs w:val="32"/>
        </w:rPr>
        <w:t>4. 实施年限</w:t>
      </w:r>
    </w:p>
    <w:p>
      <w:pPr>
        <w:spacing w:line="600" w:lineRule="exact"/>
        <w:ind w:firstLine="640" w:firstLineChars="200"/>
        <w:rPr>
          <w:szCs w:val="32"/>
        </w:rPr>
      </w:pPr>
      <w:r>
        <w:rPr>
          <w:szCs w:val="32"/>
        </w:rPr>
        <w:t>建设期控制在1-2年为宜。</w:t>
      </w:r>
    </w:p>
    <w:p>
      <w:pPr>
        <w:spacing w:line="600" w:lineRule="exact"/>
        <w:ind w:firstLine="640"/>
        <w:rPr>
          <w:szCs w:val="32"/>
        </w:rPr>
      </w:pPr>
      <w:r>
        <w:rPr>
          <w:szCs w:val="32"/>
        </w:rPr>
        <w:t>5. 中央投资支持方式</w:t>
      </w:r>
    </w:p>
    <w:p>
      <w:pPr>
        <w:spacing w:line="600" w:lineRule="exact"/>
        <w:ind w:firstLine="640"/>
        <w:rPr>
          <w:szCs w:val="32"/>
        </w:rPr>
      </w:pPr>
      <w:r>
        <w:rPr>
          <w:szCs w:val="32"/>
        </w:rPr>
        <w:t>中央投资以补助方式对符合条件的粮食安全保障调控和应急设施项目予以支持，重点支持粮食现代物流项目，适当支持部分增储规模大的产销平衡区、正在实施最低收购价政策的部分有仓容缺口的西部地区建设部分仓储设施，适当支持成品粮油储备库、应急配送中心项目。</w:t>
      </w:r>
    </w:p>
    <w:p>
      <w:pPr>
        <w:spacing w:line="600" w:lineRule="exact"/>
        <w:ind w:firstLine="640"/>
        <w:rPr>
          <w:szCs w:val="32"/>
        </w:rPr>
      </w:pPr>
      <w:r>
        <w:rPr>
          <w:szCs w:val="32"/>
        </w:rPr>
        <w:t>6. 中央投资支持标准</w:t>
      </w:r>
    </w:p>
    <w:p>
      <w:pPr>
        <w:spacing w:line="600" w:lineRule="exact"/>
        <w:ind w:firstLine="640"/>
        <w:rPr>
          <w:szCs w:val="32"/>
        </w:rPr>
      </w:pPr>
      <w:r>
        <w:rPr>
          <w:szCs w:val="32"/>
        </w:rPr>
        <w:t>中央投资对地方项目的补助比例不超过总投资的30%。同时，对因项目储备不足等原因，导致测算的中央预算内投资规模低于500万的省，当年不予安排资金。国家另有规定的，执行相关规定。</w:t>
      </w:r>
    </w:p>
    <w:p>
      <w:pPr>
        <w:pStyle w:val="2"/>
        <w:widowControl w:val="0"/>
        <w:spacing w:before="0" w:after="0" w:line="600" w:lineRule="exact"/>
        <w:ind w:left="0" w:leftChars="0" w:firstLine="640" w:firstLineChars="0"/>
        <w:rPr>
          <w:rFonts w:ascii="Times New Roman" w:hAnsi="Times New Roman" w:eastAsia="仿宋_GB2312"/>
          <w:color w:val="auto"/>
          <w:sz w:val="32"/>
          <w:szCs w:val="32"/>
          <w:lang w:val="en-US" w:eastAsia="zh-CN"/>
        </w:rPr>
      </w:pPr>
    </w:p>
    <w:p>
      <w:pPr>
        <w:pStyle w:val="2"/>
        <w:widowControl w:val="0"/>
        <w:ind w:left="1280" w:leftChars="400" w:firstLine="0" w:firstLineChars="0"/>
        <w:rPr>
          <w:rFonts w:ascii="Times New Roman" w:hAnsi="Times New Roman" w:eastAsia="黑体"/>
          <w:sz w:val="32"/>
          <w:szCs w:val="32"/>
          <w:lang w:val="en-US" w:eastAsia="zh-CN"/>
        </w:rPr>
      </w:pPr>
    </w:p>
    <w:p>
      <w:pPr>
        <w:pStyle w:val="2"/>
        <w:widowControl w:val="0"/>
        <w:ind w:left="1280" w:leftChars="400" w:firstLine="0" w:firstLineChars="0"/>
        <w:rPr>
          <w:rFonts w:ascii="Times New Roman" w:hAnsi="Times New Roman" w:eastAsia="黑体"/>
          <w:sz w:val="32"/>
          <w:szCs w:val="32"/>
          <w:lang w:val="en-US" w:eastAsia="zh-CN"/>
        </w:rPr>
      </w:pPr>
    </w:p>
    <w:p>
      <w:pPr>
        <w:pStyle w:val="2"/>
        <w:widowControl w:val="0"/>
        <w:ind w:left="1280" w:leftChars="400" w:firstLine="0" w:firstLineChars="0"/>
        <w:rPr>
          <w:rFonts w:ascii="Times New Roman" w:hAnsi="Times New Roman" w:eastAsia="黑体"/>
          <w:sz w:val="32"/>
          <w:szCs w:val="32"/>
          <w:lang w:val="en-US" w:eastAsia="zh-CN"/>
        </w:rPr>
      </w:pPr>
    </w:p>
    <w:p>
      <w:pPr>
        <w:pStyle w:val="2"/>
        <w:widowControl w:val="0"/>
        <w:ind w:left="1280" w:leftChars="400" w:firstLine="0" w:firstLineChars="0"/>
        <w:rPr>
          <w:rFonts w:ascii="Times New Roman" w:hAnsi="Times New Roman" w:eastAsia="黑体"/>
          <w:sz w:val="32"/>
          <w:szCs w:val="32"/>
          <w:lang w:val="en-US" w:eastAsia="zh-CN"/>
        </w:rPr>
      </w:pPr>
    </w:p>
    <w:p>
      <w:pPr>
        <w:pStyle w:val="2"/>
        <w:widowControl w:val="0"/>
        <w:ind w:left="1280" w:leftChars="400" w:firstLine="0" w:firstLineChars="0"/>
        <w:rPr>
          <w:rFonts w:ascii="Times New Roman" w:hAnsi="Times New Roman" w:eastAsia="黑体"/>
          <w:sz w:val="32"/>
          <w:szCs w:val="32"/>
          <w:lang w:val="en-US" w:eastAsia="zh-CN"/>
        </w:rPr>
      </w:pPr>
    </w:p>
    <w:p>
      <w:pPr>
        <w:pStyle w:val="2"/>
        <w:widowControl w:val="0"/>
        <w:ind w:left="1280" w:leftChars="400" w:firstLine="0" w:firstLineChars="0"/>
        <w:rPr>
          <w:rFonts w:ascii="Times New Roman" w:hAnsi="Times New Roman" w:eastAsia="黑体"/>
          <w:sz w:val="32"/>
          <w:szCs w:val="32"/>
          <w:lang w:val="en-US" w:eastAsia="zh-CN"/>
        </w:rPr>
      </w:pPr>
    </w:p>
    <w:p>
      <w:pPr>
        <w:pStyle w:val="5"/>
        <w:spacing w:before="0" w:beforeLines="0"/>
        <w:ind w:left="0" w:leftChars="0" w:firstLine="0" w:firstLineChars="0"/>
        <w:jc w:val="center"/>
        <w:rPr>
          <w:rFonts w:ascii="Times New Roman" w:hAnsi="Times New Roman" w:eastAsia="方正小标宋_GBK"/>
          <w:sz w:val="44"/>
          <w:szCs w:val="44"/>
        </w:rPr>
      </w:pPr>
    </w:p>
    <w:p>
      <w:pPr>
        <w:pStyle w:val="4"/>
        <w:widowControl w:val="0"/>
        <w:spacing w:before="0" w:beforeAutospacing="0" w:after="0" w:afterAutospacing="0" w:line="600" w:lineRule="exact"/>
        <w:jc w:val="center"/>
        <w:rPr>
          <w:rFonts w:hint="eastAsia" w:ascii="Times New Roman" w:hAnsi="Times New Roman" w:eastAsia="方正小标宋_GBK" w:cs="Times New Roman"/>
          <w:b w:val="0"/>
          <w:bCs w:val="0"/>
          <w:sz w:val="44"/>
          <w:szCs w:val="44"/>
        </w:rPr>
      </w:pPr>
      <w:bookmarkStart w:id="783" w:name="_Toc23873"/>
    </w:p>
    <w:p>
      <w:pPr>
        <w:pStyle w:val="4"/>
        <w:widowControl w:val="0"/>
        <w:spacing w:before="0" w:beforeAutospacing="0" w:after="0" w:afterAutospacing="0" w:line="600" w:lineRule="exact"/>
        <w:jc w:val="center"/>
        <w:rPr>
          <w:rFonts w:hint="eastAsia" w:ascii="Times New Roman" w:hAnsi="Times New Roman" w:eastAsia="方正小标宋_GBK" w:cs="Times New Roman"/>
          <w:b w:val="0"/>
          <w:bCs w:val="0"/>
          <w:sz w:val="44"/>
          <w:szCs w:val="44"/>
        </w:rPr>
      </w:pPr>
    </w:p>
    <w:p>
      <w:pPr>
        <w:pStyle w:val="4"/>
        <w:widowControl w:val="0"/>
        <w:spacing w:before="0" w:beforeAutospacing="0" w:after="0" w:afterAutospacing="0" w:line="600" w:lineRule="exact"/>
        <w:jc w:val="center"/>
        <w:rPr>
          <w:rFonts w:hint="eastAsia" w:ascii="Times New Roman" w:hAnsi="Times New Roman" w:eastAsia="方正小标宋_GBK" w:cs="Times New Roman"/>
          <w:b w:val="0"/>
          <w:bCs w:val="0"/>
          <w:sz w:val="44"/>
          <w:szCs w:val="44"/>
        </w:rPr>
      </w:pPr>
    </w:p>
    <w:p>
      <w:pPr>
        <w:pStyle w:val="4"/>
        <w:widowControl w:val="0"/>
        <w:spacing w:before="0" w:beforeAutospacing="0" w:after="0" w:afterAutospacing="0" w:line="600" w:lineRule="exact"/>
        <w:jc w:val="center"/>
        <w:rPr>
          <w:rFonts w:hint="eastAsia" w:ascii="Times New Roman" w:hAnsi="Times New Roman" w:eastAsia="方正小标宋_GBK" w:cs="Times New Roman"/>
          <w:b w:val="0"/>
          <w:bCs w:val="0"/>
          <w:sz w:val="44"/>
          <w:szCs w:val="44"/>
        </w:rPr>
      </w:pPr>
    </w:p>
    <w:p>
      <w:pPr>
        <w:pStyle w:val="4"/>
        <w:widowControl w:val="0"/>
        <w:spacing w:before="0" w:beforeAutospacing="0" w:after="0" w:afterAutospacing="0" w:line="600" w:lineRule="exact"/>
        <w:jc w:val="center"/>
        <w:rPr>
          <w:rFonts w:hint="eastAsia" w:ascii="Times New Roman" w:hAnsi="Times New Roman" w:eastAsia="方正小标宋_GBK" w:cs="Times New Roman"/>
          <w:b w:val="0"/>
          <w:bCs w:val="0"/>
          <w:sz w:val="44"/>
          <w:szCs w:val="44"/>
        </w:rPr>
      </w:pPr>
    </w:p>
    <w:p>
      <w:pPr>
        <w:pStyle w:val="4"/>
        <w:widowControl w:val="0"/>
        <w:spacing w:before="0" w:beforeAutospacing="0" w:after="0" w:afterAutospacing="0" w:line="600" w:lineRule="exact"/>
        <w:jc w:val="center"/>
        <w:rPr>
          <w:rFonts w:hint="eastAsia" w:ascii="Times New Roman" w:hAnsi="Times New Roman" w:eastAsia="方正小标宋_GBK" w:cs="Times New Roman"/>
          <w:b w:val="0"/>
          <w:bCs w:val="0"/>
          <w:sz w:val="44"/>
          <w:szCs w:val="44"/>
        </w:rPr>
      </w:pPr>
    </w:p>
    <w:p>
      <w:pPr>
        <w:pStyle w:val="4"/>
        <w:widowControl w:val="0"/>
        <w:spacing w:before="0" w:beforeAutospacing="0" w:after="0" w:afterAutospacing="0" w:line="600" w:lineRule="exact"/>
        <w:jc w:val="center"/>
        <w:rPr>
          <w:rFonts w:ascii="Times New Roman" w:hAnsi="Times New Roman" w:eastAsia="方正小标宋_GBK" w:cs="Times New Roman"/>
          <w:b w:val="0"/>
          <w:bCs w:val="0"/>
          <w:sz w:val="44"/>
          <w:szCs w:val="44"/>
        </w:rPr>
      </w:pPr>
      <w:r>
        <w:rPr>
          <w:rFonts w:ascii="Times New Roman" w:hAnsi="Times New Roman" w:eastAsia="方正小标宋_GBK" w:cs="Times New Roman"/>
          <w:b w:val="0"/>
          <w:bCs w:val="0"/>
          <w:sz w:val="44"/>
          <w:szCs w:val="44"/>
        </w:rPr>
        <w:t>第十六部分  政务信息化</w:t>
      </w:r>
      <w:bookmarkEnd w:id="783"/>
    </w:p>
    <w:p>
      <w:pPr>
        <w:spacing w:line="600" w:lineRule="exact"/>
      </w:pPr>
      <w:r>
        <w:rPr>
          <w:szCs w:val="32"/>
        </w:rPr>
        <w:t xml:space="preserve">    </w:t>
      </w:r>
    </w:p>
    <w:p>
      <w:pPr>
        <w:rPr>
          <w:szCs w:val="32"/>
        </w:rPr>
      </w:pPr>
      <w:r>
        <w:rPr>
          <w:szCs w:val="32"/>
        </w:rPr>
        <w:t xml:space="preserve">    1.支持方向</w:t>
      </w:r>
    </w:p>
    <w:p>
      <w:pPr>
        <w:rPr>
          <w:szCs w:val="32"/>
        </w:rPr>
      </w:pPr>
      <w:r>
        <w:rPr>
          <w:szCs w:val="32"/>
        </w:rPr>
        <w:t xml:space="preserve">    全面构建纵向贯通、横向协同、上接国家、覆盖全区的“数字政府”体系，重点保障自治区各部门及单位提出的满足“数字政府”建设发展需要的政务信息化项目，主要包括自治区公共电子政务网络、重点业务信息系统、基础信息资源库、信息门户、公共网络与信息安全等建设项目。</w:t>
      </w:r>
    </w:p>
    <w:p>
      <w:pPr>
        <w:rPr>
          <w:szCs w:val="32"/>
        </w:rPr>
      </w:pPr>
      <w:r>
        <w:rPr>
          <w:szCs w:val="32"/>
        </w:rPr>
        <w:t xml:space="preserve">    2.有关要求</w:t>
      </w:r>
    </w:p>
    <w:p>
      <w:pPr>
        <w:ind w:firstLine="640"/>
        <w:rPr>
          <w:szCs w:val="32"/>
        </w:rPr>
      </w:pPr>
      <w:r>
        <w:rPr>
          <w:szCs w:val="32"/>
        </w:rPr>
        <w:t>项目立项前需提交项目需求分析报告，并经自治区“数字政府”建设领导小组办公室审核通过。</w:t>
      </w:r>
    </w:p>
    <w:p>
      <w:pPr>
        <w:rPr>
          <w:szCs w:val="32"/>
        </w:rPr>
      </w:pPr>
      <w:r>
        <w:rPr>
          <w:szCs w:val="32"/>
        </w:rPr>
        <w:t xml:space="preserve">    对统筹集约不到位、安全方案不合理、共享开放不明确，未充分利用自治区信息化基础设施，无法实现互联互通、信息共享、业务协同的信息系统，原则上不予支持。</w:t>
      </w:r>
    </w:p>
    <w:p>
      <w:pPr>
        <w:rPr>
          <w:szCs w:val="32"/>
        </w:rPr>
      </w:pPr>
      <w:r>
        <w:rPr>
          <w:szCs w:val="32"/>
        </w:rPr>
        <w:t xml:space="preserve">    3.资金来源</w:t>
      </w:r>
    </w:p>
    <w:p>
      <w:pPr>
        <w:rPr>
          <w:szCs w:val="32"/>
        </w:rPr>
      </w:pPr>
      <w:r>
        <w:rPr>
          <w:szCs w:val="32"/>
        </w:rPr>
        <w:t xml:space="preserve">    自治区政务信息化专项资金。如使用其他资金，需落实资金来源。</w:t>
      </w:r>
    </w:p>
    <w:p>
      <w:pPr>
        <w:spacing w:line="600" w:lineRule="exact"/>
        <w:rPr>
          <w:szCs w:val="32"/>
        </w:rPr>
      </w:pPr>
    </w:p>
    <w:p>
      <w:pPr>
        <w:pStyle w:val="2"/>
        <w:widowControl w:val="0"/>
        <w:ind w:left="1280" w:leftChars="400" w:firstLine="0" w:firstLineChars="0"/>
        <w:rPr>
          <w:rFonts w:ascii="Times New Roman" w:hAnsi="Times New Roman" w:eastAsia="黑体"/>
          <w:sz w:val="32"/>
          <w:szCs w:val="32"/>
          <w:lang w:val="en-US" w:eastAsia="zh-CN"/>
        </w:rPr>
      </w:pPr>
    </w:p>
    <w:p>
      <w:pPr>
        <w:pStyle w:val="2"/>
        <w:widowControl w:val="0"/>
        <w:ind w:left="640" w:firstLine="640"/>
        <w:rPr>
          <w:rFonts w:ascii="Times New Roman" w:hAnsi="Times New Roman"/>
          <w:sz w:val="32"/>
          <w:szCs w:val="32"/>
          <w:lang w:val="en-US" w:eastAsia="zh-CN"/>
        </w:rPr>
      </w:pPr>
    </w:p>
    <w:p>
      <w:pPr>
        <w:pStyle w:val="2"/>
        <w:widowControl w:val="0"/>
        <w:spacing w:before="0" w:after="0"/>
        <w:ind w:left="0" w:leftChars="0" w:firstLine="0" w:firstLineChars="0"/>
        <w:jc w:val="both"/>
        <w:rPr>
          <w:rFonts w:hint="eastAsia" w:ascii="黑体" w:hAnsi="黑体" w:eastAsia="黑体" w:cs="黑体"/>
          <w:sz w:val="32"/>
          <w:szCs w:val="32"/>
          <w:lang w:val="en-US" w:eastAsia="zh-CN"/>
        </w:rPr>
      </w:pPr>
    </w:p>
    <w:p>
      <w:pPr>
        <w:pStyle w:val="2"/>
        <w:widowControl w:val="0"/>
        <w:spacing w:before="0" w:after="0"/>
        <w:ind w:left="0" w:leftChars="0" w:firstLine="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widowControl w:val="0"/>
        <w:spacing w:before="0" w:after="156" w:afterLines="50" w:line="600" w:lineRule="exact"/>
        <w:ind w:left="0" w:leftChars="0" w:firstLine="0" w:firstLineChars="0"/>
        <w:jc w:val="center"/>
        <w:rPr>
          <w:rFonts w:ascii="Times New Roman" w:hAnsi="Times New Roman" w:eastAsia="方正小标宋_GBK"/>
          <w:sz w:val="44"/>
          <w:szCs w:val="44"/>
          <w:lang w:val="en-US" w:eastAsia="zh-CN"/>
        </w:rPr>
      </w:pPr>
      <w:r>
        <w:rPr>
          <w:rFonts w:ascii="Times New Roman" w:hAnsi="Times New Roman" w:eastAsia="方正小标宋_GBK"/>
          <w:sz w:val="32"/>
          <w:szCs w:val="32"/>
          <w:lang w:val="en-US" w:eastAsia="zh-CN"/>
        </w:rPr>
        <w:t>自治区发展改革委谋划项目对口处室联系方式一览表</w:t>
      </w:r>
    </w:p>
    <w:tbl>
      <w:tblPr>
        <w:tblStyle w:val="15"/>
        <w:tblW w:w="0" w:type="auto"/>
        <w:jc w:val="center"/>
        <w:tblLayout w:type="fixed"/>
        <w:tblCellMar>
          <w:top w:w="15" w:type="dxa"/>
          <w:left w:w="15" w:type="dxa"/>
          <w:bottom w:w="15" w:type="dxa"/>
          <w:right w:w="15" w:type="dxa"/>
        </w:tblCellMar>
      </w:tblPr>
      <w:tblGrid>
        <w:gridCol w:w="1745"/>
        <w:gridCol w:w="1614"/>
        <w:gridCol w:w="1446"/>
        <w:gridCol w:w="1366"/>
        <w:gridCol w:w="1024"/>
        <w:gridCol w:w="1698"/>
      </w:tblGrid>
      <w:tr>
        <w:tblPrEx>
          <w:tblCellMar>
            <w:top w:w="15" w:type="dxa"/>
            <w:left w:w="15" w:type="dxa"/>
            <w:bottom w:w="15" w:type="dxa"/>
            <w:right w:w="15" w:type="dxa"/>
          </w:tblCellMar>
        </w:tblPrEx>
        <w:trPr>
          <w:trHeight w:val="660" w:hRule="atLeast"/>
          <w:jc w:val="center"/>
        </w:trPr>
        <w:tc>
          <w:tcPr>
            <w:tcW w:w="480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b/>
                <w:color w:val="000000"/>
                <w:sz w:val="20"/>
                <w:szCs w:val="20"/>
              </w:rPr>
            </w:pPr>
            <w:r>
              <w:rPr>
                <w:b/>
                <w:color w:val="000000"/>
                <w:kern w:val="0"/>
                <w:sz w:val="20"/>
                <w:szCs w:val="20"/>
                <w:lang w:bidi="ar"/>
              </w:rPr>
              <w:t>专项(项目）</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b/>
                <w:color w:val="000000"/>
                <w:sz w:val="20"/>
                <w:szCs w:val="20"/>
              </w:rPr>
            </w:pPr>
            <w:r>
              <w:rPr>
                <w:b/>
                <w:color w:val="000000"/>
                <w:kern w:val="0"/>
                <w:sz w:val="20"/>
                <w:szCs w:val="20"/>
                <w:lang w:bidi="ar"/>
              </w:rPr>
              <w:t>对口处室</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b/>
                <w:color w:val="000000"/>
                <w:sz w:val="20"/>
                <w:szCs w:val="20"/>
              </w:rPr>
            </w:pPr>
            <w:r>
              <w:rPr>
                <w:b/>
                <w:color w:val="000000"/>
                <w:kern w:val="0"/>
                <w:sz w:val="20"/>
                <w:szCs w:val="20"/>
                <w:lang w:bidi="ar"/>
              </w:rPr>
              <w:t>联系人</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b/>
                <w:color w:val="000000"/>
                <w:sz w:val="20"/>
                <w:szCs w:val="20"/>
              </w:rPr>
            </w:pPr>
            <w:r>
              <w:rPr>
                <w:b/>
                <w:color w:val="000000"/>
                <w:kern w:val="0"/>
                <w:sz w:val="20"/>
                <w:szCs w:val="20"/>
                <w:lang w:bidi="ar"/>
              </w:rPr>
              <w:t>联系电话</w:t>
            </w:r>
          </w:p>
        </w:tc>
      </w:tr>
      <w:tr>
        <w:trPr>
          <w:trHeight w:val="410" w:hRule="atLeast"/>
          <w:jc w:val="center"/>
        </w:trPr>
        <w:tc>
          <w:tcPr>
            <w:tcW w:w="480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left"/>
              <w:textAlignment w:val="center"/>
              <w:rPr>
                <w:b/>
                <w:color w:val="000000"/>
                <w:sz w:val="20"/>
                <w:szCs w:val="20"/>
              </w:rPr>
            </w:pPr>
            <w:r>
              <w:rPr>
                <w:b/>
                <w:color w:val="000000"/>
                <w:kern w:val="0"/>
                <w:sz w:val="20"/>
                <w:szCs w:val="20"/>
                <w:lang w:bidi="ar"/>
              </w:rPr>
              <w:t>第一部分  农业产业化</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农经处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唐志海</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0951-5016080   17709510681</w:t>
            </w:r>
          </w:p>
        </w:tc>
      </w:tr>
      <w:tr>
        <w:tblPrEx>
          <w:tblCellMar>
            <w:top w:w="15" w:type="dxa"/>
            <w:left w:w="15" w:type="dxa"/>
            <w:bottom w:w="15" w:type="dxa"/>
            <w:right w:w="15" w:type="dxa"/>
          </w:tblCellMar>
        </w:tblPrEx>
        <w:trPr>
          <w:trHeight w:val="410" w:hRule="atLeast"/>
          <w:jc w:val="center"/>
        </w:trPr>
        <w:tc>
          <w:tcPr>
            <w:tcW w:w="174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b/>
                <w:color w:val="000000"/>
                <w:sz w:val="20"/>
                <w:szCs w:val="20"/>
              </w:rPr>
            </w:pPr>
            <w:r>
              <w:rPr>
                <w:b/>
                <w:color w:val="000000"/>
                <w:kern w:val="0"/>
                <w:sz w:val="20"/>
                <w:szCs w:val="20"/>
                <w:lang w:bidi="ar"/>
              </w:rPr>
              <w:t>第二部分          工业转型升级</w:t>
            </w:r>
          </w:p>
        </w:tc>
        <w:tc>
          <w:tcPr>
            <w:tcW w:w="30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煤矿安全改造</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能源管理处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翟忠夏</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0951-5058392    13389510266</w:t>
            </w:r>
          </w:p>
        </w:tc>
      </w:tr>
      <w:tr>
        <w:tblPrEx>
          <w:tblCellMar>
            <w:top w:w="15" w:type="dxa"/>
            <w:left w:w="15" w:type="dxa"/>
            <w:bottom w:w="15" w:type="dxa"/>
            <w:right w:w="15" w:type="dxa"/>
          </w:tblCellMar>
        </w:tblPrEx>
        <w:trPr>
          <w:trHeight w:val="340"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b/>
                <w:color w:val="000000"/>
                <w:sz w:val="20"/>
                <w:szCs w:val="20"/>
              </w:rPr>
            </w:pPr>
          </w:p>
        </w:tc>
        <w:tc>
          <w:tcPr>
            <w:tcW w:w="1614"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制造业</w:t>
            </w:r>
          </w:p>
        </w:tc>
        <w:tc>
          <w:tcPr>
            <w:tcW w:w="1446" w:type="dxa"/>
            <w:tcBorders>
              <w:top w:val="single" w:color="000000" w:sz="4" w:space="0"/>
              <w:bottom w:val="single" w:color="000000" w:sz="4" w:space="0"/>
              <w:right w:val="single" w:color="000000" w:sz="4" w:space="0"/>
            </w:tcBorders>
            <w:noWrap w:val="0"/>
            <w:vAlign w:val="center"/>
          </w:tcPr>
          <w:p>
            <w:pPr>
              <w:spacing w:line="200" w:lineRule="exact"/>
              <w:rPr>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产业处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李  航</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0951-5016073   17709510680</w:t>
            </w:r>
          </w:p>
        </w:tc>
      </w:tr>
      <w:tr>
        <w:trPr>
          <w:trHeight w:val="270"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b/>
                <w:color w:val="000000"/>
                <w:sz w:val="20"/>
                <w:szCs w:val="20"/>
              </w:rPr>
            </w:pPr>
          </w:p>
        </w:tc>
        <w:tc>
          <w:tcPr>
            <w:tcW w:w="161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color w:val="000000"/>
                <w:sz w:val="20"/>
                <w:szCs w:val="20"/>
              </w:rPr>
            </w:pP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textAlignment w:val="center"/>
              <w:rPr>
                <w:color w:val="000000"/>
                <w:sz w:val="20"/>
                <w:szCs w:val="20"/>
              </w:rPr>
            </w:pPr>
            <w:r>
              <w:rPr>
                <w:color w:val="000000"/>
                <w:kern w:val="0"/>
                <w:sz w:val="20"/>
                <w:szCs w:val="20"/>
                <w:lang w:bidi="ar"/>
              </w:rPr>
              <w:t>其中：资源节约循环利用</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环资处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rFonts w:hint="eastAsia"/>
                <w:color w:val="000000"/>
                <w:kern w:val="0"/>
                <w:sz w:val="20"/>
                <w:szCs w:val="20"/>
                <w:lang w:bidi="ar"/>
              </w:rPr>
              <w:t>苏小兵</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w:t>
            </w:r>
            <w:r>
              <w:rPr>
                <w:rFonts w:hint="eastAsia"/>
                <w:color w:val="000000"/>
                <w:kern w:val="0"/>
                <w:sz w:val="20"/>
                <w:szCs w:val="20"/>
                <w:lang w:bidi="ar"/>
              </w:rPr>
              <w:t>6038171</w:t>
            </w:r>
            <w:r>
              <w:rPr>
                <w:color w:val="000000"/>
                <w:kern w:val="0"/>
                <w:sz w:val="20"/>
                <w:szCs w:val="20"/>
                <w:lang w:bidi="ar"/>
              </w:rPr>
              <w:t xml:space="preserve">   </w:t>
            </w:r>
            <w:r>
              <w:rPr>
                <w:rFonts w:hint="eastAsia"/>
                <w:color w:val="000000"/>
                <w:kern w:val="0"/>
                <w:sz w:val="20"/>
                <w:szCs w:val="20"/>
                <w:lang w:bidi="ar"/>
              </w:rPr>
              <w:t>17709510632</w:t>
            </w:r>
          </w:p>
        </w:tc>
      </w:tr>
      <w:tr>
        <w:tblPrEx>
          <w:tblCellMar>
            <w:top w:w="15" w:type="dxa"/>
            <w:left w:w="15" w:type="dxa"/>
            <w:bottom w:w="15" w:type="dxa"/>
            <w:right w:w="15" w:type="dxa"/>
          </w:tblCellMar>
        </w:tblPrEx>
        <w:trPr>
          <w:trHeight w:val="460"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b/>
                <w:color w:val="000000"/>
                <w:sz w:val="20"/>
                <w:szCs w:val="20"/>
              </w:rPr>
            </w:pPr>
          </w:p>
        </w:tc>
        <w:tc>
          <w:tcPr>
            <w:tcW w:w="30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电力及新能源</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能源发展处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杨泽英</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0951-6038090    17709510580</w:t>
            </w:r>
          </w:p>
        </w:tc>
      </w:tr>
      <w:tr>
        <w:trPr>
          <w:trHeight w:val="290" w:hRule="atLeast"/>
          <w:jc w:val="center"/>
        </w:trPr>
        <w:tc>
          <w:tcPr>
            <w:tcW w:w="174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b/>
                <w:color w:val="000000"/>
                <w:sz w:val="20"/>
                <w:szCs w:val="20"/>
              </w:rPr>
            </w:pPr>
            <w:r>
              <w:rPr>
                <w:b/>
                <w:color w:val="000000"/>
                <w:kern w:val="0"/>
                <w:sz w:val="20"/>
                <w:szCs w:val="20"/>
                <w:lang w:bidi="ar"/>
              </w:rPr>
              <w:t>第三部分          服务业提档升级</w:t>
            </w:r>
          </w:p>
        </w:tc>
        <w:tc>
          <w:tcPr>
            <w:tcW w:w="3060" w:type="dxa"/>
            <w:gridSpan w:val="2"/>
            <w:tcBorders>
              <w:top w:val="single" w:color="000000" w:sz="4" w:space="0"/>
              <w:bottom w:val="single" w:color="000000" w:sz="4" w:space="0"/>
              <w:right w:val="single" w:color="000000" w:sz="4" w:space="0"/>
            </w:tcBorders>
            <w:noWrap w:val="0"/>
            <w:vAlign w:val="center"/>
          </w:tcPr>
          <w:p>
            <w:pPr>
              <w:spacing w:line="200" w:lineRule="exact"/>
              <w:jc w:val="center"/>
              <w:rPr>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color w:val="000000"/>
                <w:sz w:val="20"/>
                <w:szCs w:val="20"/>
              </w:rPr>
            </w:pPr>
            <w:r>
              <w:rPr>
                <w:color w:val="000000"/>
                <w:sz w:val="20"/>
                <w:szCs w:val="20"/>
              </w:rPr>
              <w:t>服务业处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丁  东</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0951-6038151    18009511676</w:t>
            </w:r>
          </w:p>
        </w:tc>
      </w:tr>
      <w:tr>
        <w:tblPrEx>
          <w:tblCellMar>
            <w:top w:w="15" w:type="dxa"/>
            <w:left w:w="15" w:type="dxa"/>
            <w:bottom w:w="15" w:type="dxa"/>
            <w:right w:w="15" w:type="dxa"/>
          </w:tblCellMar>
        </w:tblPrEx>
        <w:trPr>
          <w:trHeight w:val="320"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b/>
                <w:color w:val="000000"/>
                <w:sz w:val="20"/>
                <w:szCs w:val="20"/>
              </w:rPr>
            </w:pPr>
          </w:p>
        </w:tc>
        <w:tc>
          <w:tcPr>
            <w:tcW w:w="3060" w:type="dxa"/>
            <w:gridSpan w:val="2"/>
            <w:tcBorders>
              <w:top w:val="single" w:color="000000" w:sz="4" w:space="0"/>
              <w:left w:val="single" w:color="000000" w:sz="4" w:space="0"/>
              <w:right w:val="single" w:color="000000" w:sz="4" w:space="0"/>
            </w:tcBorders>
            <w:noWrap w:val="0"/>
            <w:vAlign w:val="center"/>
          </w:tcPr>
          <w:p>
            <w:pPr>
              <w:spacing w:line="200" w:lineRule="exact"/>
              <w:textAlignment w:val="center"/>
              <w:rPr>
                <w:color w:val="000000"/>
                <w:sz w:val="20"/>
                <w:szCs w:val="20"/>
              </w:rPr>
            </w:pPr>
            <w:r>
              <w:rPr>
                <w:color w:val="000000"/>
                <w:kern w:val="0"/>
                <w:sz w:val="20"/>
                <w:szCs w:val="20"/>
                <w:lang w:bidi="ar"/>
              </w:rPr>
              <w:t>其中：通信</w:t>
            </w:r>
          </w:p>
        </w:tc>
        <w:tc>
          <w:tcPr>
            <w:tcW w:w="1366" w:type="dxa"/>
            <w:tcBorders>
              <w:top w:val="single" w:color="000000" w:sz="4" w:space="0"/>
              <w:left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创新高技术处</w:t>
            </w:r>
          </w:p>
        </w:tc>
        <w:tc>
          <w:tcPr>
            <w:tcW w:w="1024" w:type="dxa"/>
            <w:tcBorders>
              <w:top w:val="single" w:color="000000" w:sz="4" w:space="0"/>
              <w:left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王燕鑫</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0953-5043170     17709510755</w:t>
            </w:r>
          </w:p>
        </w:tc>
      </w:tr>
      <w:tr>
        <w:trPr>
          <w:trHeight w:val="420" w:hRule="atLeast"/>
          <w:jc w:val="center"/>
        </w:trPr>
        <w:tc>
          <w:tcPr>
            <w:tcW w:w="480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00" w:lineRule="exact"/>
              <w:textAlignment w:val="center"/>
              <w:rPr>
                <w:b/>
                <w:color w:val="000000"/>
                <w:sz w:val="20"/>
                <w:szCs w:val="20"/>
              </w:rPr>
            </w:pPr>
            <w:r>
              <w:rPr>
                <w:b/>
                <w:color w:val="000000"/>
                <w:kern w:val="0"/>
                <w:sz w:val="20"/>
                <w:szCs w:val="20"/>
                <w:lang w:bidi="ar"/>
              </w:rPr>
              <w:t>第四部分  战略性新兴产业</w:t>
            </w:r>
            <w:r>
              <w:rPr>
                <w:rStyle w:val="24"/>
                <w:rFonts w:hint="default" w:ascii="Times New Roman" w:hAnsi="Times New Roman" w:cs="Times New Roman"/>
                <w:lang w:bidi="ar"/>
              </w:rPr>
              <w:t>（自治区专项资金支持方向）</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创新高技术处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王燕鑫</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0953-5043170     17709510755</w:t>
            </w:r>
          </w:p>
        </w:tc>
      </w:tr>
      <w:tr>
        <w:tblPrEx>
          <w:tblCellMar>
            <w:top w:w="15" w:type="dxa"/>
            <w:left w:w="15" w:type="dxa"/>
            <w:bottom w:w="15" w:type="dxa"/>
            <w:right w:w="15" w:type="dxa"/>
          </w:tblCellMar>
        </w:tblPrEx>
        <w:trPr>
          <w:trHeight w:val="250" w:hRule="atLeast"/>
          <w:jc w:val="center"/>
        </w:trPr>
        <w:tc>
          <w:tcPr>
            <w:tcW w:w="480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00" w:lineRule="exact"/>
              <w:textAlignment w:val="center"/>
              <w:rPr>
                <w:b/>
                <w:color w:val="000000"/>
                <w:sz w:val="20"/>
                <w:szCs w:val="20"/>
              </w:rPr>
            </w:pPr>
            <w:r>
              <w:rPr>
                <w:b/>
                <w:color w:val="000000"/>
                <w:kern w:val="0"/>
                <w:sz w:val="20"/>
                <w:szCs w:val="20"/>
                <w:lang w:bidi="ar"/>
              </w:rPr>
              <w:t>第五部分  “一带一路”建设</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开放外资处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戴  华</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0951-6038053  17709510519</w:t>
            </w:r>
          </w:p>
        </w:tc>
      </w:tr>
      <w:tr>
        <w:trPr>
          <w:trHeight w:val="190" w:hRule="atLeast"/>
          <w:jc w:val="center"/>
        </w:trPr>
        <w:tc>
          <w:tcPr>
            <w:tcW w:w="480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00" w:lineRule="exact"/>
              <w:textAlignment w:val="center"/>
              <w:rPr>
                <w:b/>
                <w:color w:val="000000"/>
                <w:sz w:val="20"/>
                <w:szCs w:val="20"/>
              </w:rPr>
            </w:pPr>
            <w:r>
              <w:rPr>
                <w:b/>
                <w:color w:val="000000"/>
                <w:kern w:val="0"/>
                <w:sz w:val="20"/>
                <w:szCs w:val="20"/>
                <w:lang w:bidi="ar"/>
              </w:rPr>
              <w:t>第六部分  黄河流域生态保护和高质量发展</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区域处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闫建忠</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0951-6085357   17709510655</w:t>
            </w:r>
          </w:p>
        </w:tc>
      </w:tr>
      <w:tr>
        <w:tblPrEx>
          <w:tblCellMar>
            <w:top w:w="15" w:type="dxa"/>
            <w:left w:w="15" w:type="dxa"/>
            <w:bottom w:w="15" w:type="dxa"/>
            <w:right w:w="15" w:type="dxa"/>
          </w:tblCellMar>
        </w:tblPrEx>
        <w:trPr>
          <w:trHeight w:val="90" w:hRule="atLeast"/>
          <w:jc w:val="center"/>
        </w:trPr>
        <w:tc>
          <w:tcPr>
            <w:tcW w:w="480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00" w:lineRule="exact"/>
              <w:textAlignment w:val="center"/>
              <w:rPr>
                <w:b/>
                <w:color w:val="000000"/>
                <w:sz w:val="20"/>
                <w:szCs w:val="20"/>
              </w:rPr>
            </w:pPr>
            <w:r>
              <w:rPr>
                <w:b/>
                <w:color w:val="000000"/>
                <w:kern w:val="0"/>
                <w:sz w:val="20"/>
                <w:szCs w:val="20"/>
                <w:lang w:bidi="ar"/>
              </w:rPr>
              <w:t>第七部分  银川都市圈建设</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区域处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田中田</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0951-6085357   17795108928</w:t>
            </w:r>
          </w:p>
        </w:tc>
      </w:tr>
      <w:tr>
        <w:trPr>
          <w:trHeight w:val="90" w:hRule="atLeast"/>
          <w:jc w:val="center"/>
        </w:trPr>
        <w:tc>
          <w:tcPr>
            <w:tcW w:w="480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00" w:lineRule="exact"/>
              <w:textAlignment w:val="center"/>
              <w:rPr>
                <w:b/>
                <w:color w:val="000000"/>
                <w:sz w:val="20"/>
                <w:szCs w:val="20"/>
              </w:rPr>
            </w:pPr>
            <w:r>
              <w:rPr>
                <w:b/>
                <w:color w:val="000000"/>
                <w:kern w:val="0"/>
                <w:sz w:val="20"/>
                <w:szCs w:val="20"/>
                <w:lang w:bidi="ar"/>
              </w:rPr>
              <w:t>第八部分  老工业区改造提升工程</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地区处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马晓兰</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0951-5049114    17709510806</w:t>
            </w:r>
          </w:p>
        </w:tc>
      </w:tr>
      <w:tr>
        <w:tblPrEx>
          <w:tblCellMar>
            <w:top w:w="15" w:type="dxa"/>
            <w:left w:w="15" w:type="dxa"/>
            <w:bottom w:w="15" w:type="dxa"/>
            <w:right w:w="15" w:type="dxa"/>
          </w:tblCellMar>
        </w:tblPrEx>
        <w:trPr>
          <w:trHeight w:val="270" w:hRule="atLeast"/>
          <w:jc w:val="center"/>
        </w:trPr>
        <w:tc>
          <w:tcPr>
            <w:tcW w:w="480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00" w:lineRule="exact"/>
              <w:textAlignment w:val="center"/>
              <w:rPr>
                <w:b/>
                <w:color w:val="000000"/>
                <w:sz w:val="20"/>
                <w:szCs w:val="20"/>
              </w:rPr>
            </w:pPr>
            <w:r>
              <w:rPr>
                <w:b/>
                <w:color w:val="000000"/>
                <w:kern w:val="0"/>
                <w:sz w:val="20"/>
                <w:szCs w:val="20"/>
                <w:lang w:bidi="ar"/>
              </w:rPr>
              <w:t>第九部分  交通基础设施</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交通处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白晓航</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0951-6038153  18909515518</w:t>
            </w:r>
          </w:p>
        </w:tc>
      </w:tr>
      <w:tr>
        <w:trPr>
          <w:trHeight w:val="360" w:hRule="atLeast"/>
          <w:jc w:val="center"/>
        </w:trPr>
        <w:tc>
          <w:tcPr>
            <w:tcW w:w="335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200" w:lineRule="exact"/>
              <w:textAlignment w:val="center"/>
              <w:rPr>
                <w:b/>
                <w:color w:val="000000"/>
                <w:sz w:val="20"/>
                <w:szCs w:val="20"/>
              </w:rPr>
            </w:pPr>
            <w:r>
              <w:rPr>
                <w:b/>
                <w:color w:val="000000"/>
                <w:kern w:val="0"/>
                <w:sz w:val="20"/>
                <w:szCs w:val="20"/>
                <w:lang w:bidi="ar"/>
              </w:rPr>
              <w:t>第十部分  农林水利</w:t>
            </w:r>
            <w:r>
              <w:rPr>
                <w:rFonts w:hint="eastAsia"/>
                <w:b/>
                <w:color w:val="000000"/>
                <w:kern w:val="0"/>
                <w:sz w:val="20"/>
                <w:szCs w:val="20"/>
                <w:lang w:bidi="ar"/>
              </w:rPr>
              <w:t>基础设施</w:t>
            </w:r>
          </w:p>
        </w:tc>
        <w:tc>
          <w:tcPr>
            <w:tcW w:w="1446" w:type="dxa"/>
            <w:tcBorders>
              <w:top w:val="single" w:color="000000" w:sz="4" w:space="0"/>
              <w:bottom w:val="single" w:color="000000" w:sz="4" w:space="0"/>
              <w:right w:val="single" w:color="000000" w:sz="4" w:space="0"/>
            </w:tcBorders>
            <w:noWrap w:val="0"/>
            <w:vAlign w:val="center"/>
          </w:tcPr>
          <w:p>
            <w:pPr>
              <w:spacing w:line="200" w:lineRule="exact"/>
              <w:rPr>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农经处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唐志海</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0951-5016080   17709510681</w:t>
            </w:r>
          </w:p>
        </w:tc>
      </w:tr>
      <w:tr>
        <w:tblPrEx>
          <w:tblCellMar>
            <w:top w:w="15" w:type="dxa"/>
            <w:left w:w="15" w:type="dxa"/>
            <w:bottom w:w="15" w:type="dxa"/>
            <w:right w:w="15" w:type="dxa"/>
          </w:tblCellMar>
        </w:tblPrEx>
        <w:trPr>
          <w:trHeight w:val="90" w:hRule="atLeast"/>
          <w:jc w:val="center"/>
        </w:trPr>
        <w:tc>
          <w:tcPr>
            <w:tcW w:w="335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00" w:lineRule="exact"/>
              <w:rPr>
                <w:b/>
                <w:color w:val="000000"/>
                <w:sz w:val="20"/>
                <w:szCs w:val="20"/>
              </w:rPr>
            </w:pP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left"/>
              <w:textAlignment w:val="center"/>
              <w:rPr>
                <w:color w:val="000000"/>
                <w:sz w:val="20"/>
                <w:szCs w:val="20"/>
              </w:rPr>
            </w:pPr>
            <w:r>
              <w:rPr>
                <w:color w:val="000000"/>
                <w:kern w:val="0"/>
                <w:sz w:val="20"/>
                <w:szCs w:val="20"/>
                <w:lang w:bidi="ar"/>
              </w:rPr>
              <w:t>其中：以工代赈项目</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地区处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聂  斌</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0951-5016924  17795108929</w:t>
            </w:r>
          </w:p>
        </w:tc>
      </w:tr>
      <w:tr>
        <w:trPr>
          <w:trHeight w:val="240" w:hRule="atLeast"/>
          <w:jc w:val="center"/>
        </w:trPr>
        <w:tc>
          <w:tcPr>
            <w:tcW w:w="335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200" w:lineRule="exact"/>
              <w:textAlignment w:val="center"/>
              <w:rPr>
                <w:b/>
                <w:color w:val="000000"/>
                <w:sz w:val="20"/>
                <w:szCs w:val="20"/>
              </w:rPr>
            </w:pPr>
            <w:r>
              <w:rPr>
                <w:b/>
                <w:color w:val="000000"/>
                <w:kern w:val="0"/>
                <w:sz w:val="20"/>
                <w:szCs w:val="20"/>
                <w:lang w:bidi="ar"/>
              </w:rPr>
              <w:t>第十一部分  社会民生</w:t>
            </w:r>
          </w:p>
        </w:tc>
        <w:tc>
          <w:tcPr>
            <w:tcW w:w="1446" w:type="dxa"/>
            <w:tcBorders>
              <w:top w:val="single" w:color="000000" w:sz="4" w:space="0"/>
              <w:bottom w:val="single" w:color="000000" w:sz="4" w:space="0"/>
              <w:right w:val="single" w:color="000000" w:sz="4" w:space="0"/>
            </w:tcBorders>
            <w:noWrap w:val="0"/>
            <w:vAlign w:val="center"/>
          </w:tcPr>
          <w:p>
            <w:pPr>
              <w:spacing w:line="200" w:lineRule="exact"/>
              <w:rPr>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社会处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王  川</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0951-6038102  17709510801</w:t>
            </w:r>
          </w:p>
        </w:tc>
      </w:tr>
      <w:tr>
        <w:tblPrEx>
          <w:tblCellMar>
            <w:top w:w="15" w:type="dxa"/>
            <w:left w:w="15" w:type="dxa"/>
            <w:bottom w:w="15" w:type="dxa"/>
            <w:right w:w="15" w:type="dxa"/>
          </w:tblCellMar>
        </w:tblPrEx>
        <w:trPr>
          <w:trHeight w:val="330" w:hRule="atLeast"/>
          <w:jc w:val="center"/>
        </w:trPr>
        <w:tc>
          <w:tcPr>
            <w:tcW w:w="335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00" w:lineRule="exact"/>
              <w:rPr>
                <w:b/>
                <w:color w:val="000000"/>
                <w:sz w:val="20"/>
                <w:szCs w:val="20"/>
              </w:rPr>
            </w:pP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left"/>
              <w:textAlignment w:val="center"/>
              <w:rPr>
                <w:color w:val="000000"/>
                <w:sz w:val="20"/>
                <w:szCs w:val="20"/>
              </w:rPr>
            </w:pPr>
            <w:r>
              <w:rPr>
                <w:color w:val="000000"/>
                <w:kern w:val="0"/>
                <w:sz w:val="20"/>
                <w:szCs w:val="20"/>
                <w:lang w:bidi="ar"/>
              </w:rPr>
              <w:t>其中：公共实训基地</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就业处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孙志娟</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0951-6038131     17709510770</w:t>
            </w:r>
          </w:p>
        </w:tc>
      </w:tr>
      <w:tr>
        <w:trPr>
          <w:trHeight w:val="320" w:hRule="atLeast"/>
          <w:jc w:val="center"/>
        </w:trPr>
        <w:tc>
          <w:tcPr>
            <w:tcW w:w="480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00" w:lineRule="exact"/>
              <w:textAlignment w:val="center"/>
              <w:rPr>
                <w:b/>
                <w:color w:val="000000"/>
                <w:sz w:val="20"/>
                <w:szCs w:val="20"/>
              </w:rPr>
            </w:pPr>
            <w:r>
              <w:rPr>
                <w:b/>
                <w:color w:val="000000"/>
                <w:kern w:val="0"/>
                <w:sz w:val="20"/>
                <w:szCs w:val="20"/>
                <w:lang w:bidi="ar"/>
              </w:rPr>
              <w:t>第十二部分  城市基础设施</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投资处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姚  波</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0951-5044459    18995020909</w:t>
            </w:r>
          </w:p>
        </w:tc>
      </w:tr>
      <w:tr>
        <w:tblPrEx>
          <w:tblCellMar>
            <w:top w:w="15" w:type="dxa"/>
            <w:left w:w="15" w:type="dxa"/>
            <w:bottom w:w="15" w:type="dxa"/>
            <w:right w:w="15" w:type="dxa"/>
          </w:tblCellMar>
        </w:tblPrEx>
        <w:trPr>
          <w:trHeight w:val="260" w:hRule="atLeast"/>
          <w:jc w:val="center"/>
        </w:trPr>
        <w:tc>
          <w:tcPr>
            <w:tcW w:w="174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b/>
                <w:color w:val="000000"/>
                <w:sz w:val="20"/>
                <w:szCs w:val="20"/>
              </w:rPr>
            </w:pPr>
            <w:r>
              <w:rPr>
                <w:b/>
                <w:color w:val="000000"/>
                <w:kern w:val="0"/>
                <w:sz w:val="20"/>
                <w:szCs w:val="20"/>
                <w:lang w:bidi="ar"/>
              </w:rPr>
              <w:t>第十三部分            生态环保</w:t>
            </w:r>
          </w:p>
        </w:tc>
        <w:tc>
          <w:tcPr>
            <w:tcW w:w="3060" w:type="dxa"/>
            <w:gridSpan w:val="2"/>
            <w:tcBorders>
              <w:top w:val="single" w:color="000000" w:sz="4" w:space="0"/>
              <w:bottom w:val="single" w:color="000000" w:sz="4" w:space="0"/>
              <w:right w:val="single" w:color="000000" w:sz="4" w:space="0"/>
            </w:tcBorders>
            <w:noWrap w:val="0"/>
            <w:vAlign w:val="center"/>
          </w:tcPr>
          <w:p>
            <w:pPr>
              <w:spacing w:line="200" w:lineRule="exact"/>
              <w:jc w:val="center"/>
              <w:rPr>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环资处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吕亚辉</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0951-5023585   18009597575</w:t>
            </w:r>
          </w:p>
        </w:tc>
      </w:tr>
      <w:tr>
        <w:trPr>
          <w:trHeight w:val="240"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b/>
                <w:color w:val="000000"/>
                <w:sz w:val="20"/>
                <w:szCs w:val="20"/>
              </w:rPr>
            </w:pPr>
          </w:p>
        </w:tc>
        <w:tc>
          <w:tcPr>
            <w:tcW w:w="30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00" w:lineRule="exact"/>
              <w:textAlignment w:val="center"/>
              <w:rPr>
                <w:color w:val="000000"/>
                <w:sz w:val="20"/>
                <w:szCs w:val="20"/>
              </w:rPr>
            </w:pPr>
            <w:r>
              <w:rPr>
                <w:color w:val="000000"/>
                <w:kern w:val="0"/>
                <w:sz w:val="20"/>
                <w:szCs w:val="20"/>
                <w:lang w:bidi="ar"/>
              </w:rPr>
              <w:t>其中：重点流域水环境综合治理工程</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区域处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闫建忠</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0951-6085357   17709510655</w:t>
            </w:r>
          </w:p>
        </w:tc>
      </w:tr>
      <w:tr>
        <w:tblPrEx>
          <w:tblCellMar>
            <w:top w:w="15" w:type="dxa"/>
            <w:left w:w="15" w:type="dxa"/>
            <w:bottom w:w="15" w:type="dxa"/>
            <w:right w:w="15" w:type="dxa"/>
          </w:tblCellMar>
        </w:tblPrEx>
        <w:trPr>
          <w:trHeight w:val="240" w:hRule="atLeast"/>
          <w:jc w:val="center"/>
        </w:trPr>
        <w:tc>
          <w:tcPr>
            <w:tcW w:w="480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00" w:lineRule="exact"/>
              <w:textAlignment w:val="center"/>
              <w:rPr>
                <w:b/>
                <w:color w:val="000000"/>
                <w:sz w:val="20"/>
                <w:szCs w:val="20"/>
              </w:rPr>
            </w:pPr>
            <w:r>
              <w:rPr>
                <w:b/>
                <w:color w:val="000000"/>
                <w:kern w:val="0"/>
                <w:sz w:val="20"/>
                <w:szCs w:val="20"/>
                <w:lang w:bidi="ar"/>
              </w:rPr>
              <w:t>第十四部分  政法基础设施</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投资处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杨燕萍</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0951-6038239  17709510891</w:t>
            </w:r>
          </w:p>
        </w:tc>
      </w:tr>
      <w:tr>
        <w:trPr>
          <w:trHeight w:val="240" w:hRule="atLeast"/>
          <w:jc w:val="center"/>
        </w:trPr>
        <w:tc>
          <w:tcPr>
            <w:tcW w:w="174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b/>
                <w:color w:val="000000"/>
                <w:sz w:val="20"/>
                <w:szCs w:val="20"/>
              </w:rPr>
            </w:pPr>
            <w:r>
              <w:rPr>
                <w:b/>
                <w:color w:val="000000"/>
                <w:kern w:val="0"/>
                <w:sz w:val="20"/>
                <w:szCs w:val="20"/>
                <w:lang w:bidi="ar"/>
              </w:rPr>
              <w:t>第十五部分       应急救援能力建设</w:t>
            </w:r>
          </w:p>
        </w:tc>
        <w:tc>
          <w:tcPr>
            <w:tcW w:w="30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应急能力建设</w:t>
            </w:r>
          </w:p>
        </w:tc>
        <w:tc>
          <w:tcPr>
            <w:tcW w:w="1366" w:type="dxa"/>
            <w:vMerge w:val="restart"/>
            <w:tcBorders>
              <w:top w:val="single" w:color="000000" w:sz="4" w:space="0"/>
              <w:left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投资处</w:t>
            </w:r>
          </w:p>
        </w:tc>
        <w:tc>
          <w:tcPr>
            <w:tcW w:w="1024" w:type="dxa"/>
            <w:vMerge w:val="restart"/>
            <w:tcBorders>
              <w:top w:val="single" w:color="000000" w:sz="4" w:space="0"/>
              <w:left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姚  波</w:t>
            </w:r>
          </w:p>
        </w:tc>
        <w:tc>
          <w:tcPr>
            <w:tcW w:w="1698" w:type="dxa"/>
            <w:vMerge w:val="restart"/>
            <w:tcBorders>
              <w:top w:val="single" w:color="000000" w:sz="4" w:space="0"/>
              <w:left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0951-5044459    18995020909</w:t>
            </w:r>
          </w:p>
        </w:tc>
      </w:tr>
      <w:tr>
        <w:tblPrEx>
          <w:tblCellMar>
            <w:top w:w="15" w:type="dxa"/>
            <w:left w:w="15" w:type="dxa"/>
            <w:bottom w:w="15" w:type="dxa"/>
            <w:right w:w="15" w:type="dxa"/>
          </w:tblCellMar>
        </w:tblPrEx>
        <w:trPr>
          <w:trHeight w:val="240"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b/>
                <w:color w:val="000000"/>
                <w:sz w:val="20"/>
                <w:szCs w:val="20"/>
              </w:rPr>
            </w:pPr>
          </w:p>
        </w:tc>
        <w:tc>
          <w:tcPr>
            <w:tcW w:w="30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消防应急能力</w:t>
            </w:r>
          </w:p>
        </w:tc>
        <w:tc>
          <w:tcPr>
            <w:tcW w:w="1366" w:type="dxa"/>
            <w:vMerge w:val="continue"/>
            <w:tcBorders>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p>
        </w:tc>
        <w:tc>
          <w:tcPr>
            <w:tcW w:w="1024" w:type="dxa"/>
            <w:vMerge w:val="continue"/>
            <w:tcBorders>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p>
        </w:tc>
        <w:tc>
          <w:tcPr>
            <w:tcW w:w="1698" w:type="dxa"/>
            <w:vMerge w:val="continue"/>
            <w:tcBorders>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p>
        </w:tc>
      </w:tr>
      <w:tr>
        <w:trPr>
          <w:trHeight w:val="320"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b/>
                <w:color w:val="000000"/>
                <w:sz w:val="20"/>
                <w:szCs w:val="20"/>
              </w:rPr>
            </w:pPr>
          </w:p>
        </w:tc>
        <w:tc>
          <w:tcPr>
            <w:tcW w:w="30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粮食安全保障调控和应急设施</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经财信用处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吴志宏</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0951-5043224  17709510612</w:t>
            </w:r>
          </w:p>
        </w:tc>
      </w:tr>
      <w:tr>
        <w:tblPrEx>
          <w:tblCellMar>
            <w:top w:w="15" w:type="dxa"/>
            <w:left w:w="15" w:type="dxa"/>
            <w:bottom w:w="15" w:type="dxa"/>
            <w:right w:w="15" w:type="dxa"/>
          </w:tblCellMar>
        </w:tblPrEx>
        <w:trPr>
          <w:trHeight w:val="460" w:hRule="atLeast"/>
          <w:jc w:val="center"/>
        </w:trPr>
        <w:tc>
          <w:tcPr>
            <w:tcW w:w="480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00" w:lineRule="exact"/>
              <w:textAlignment w:val="center"/>
              <w:rPr>
                <w:b/>
                <w:color w:val="000000"/>
                <w:sz w:val="20"/>
                <w:szCs w:val="20"/>
              </w:rPr>
            </w:pPr>
            <w:r>
              <w:rPr>
                <w:b/>
                <w:color w:val="000000"/>
                <w:kern w:val="0"/>
                <w:sz w:val="20"/>
                <w:szCs w:val="20"/>
                <w:lang w:bidi="ar"/>
              </w:rPr>
              <w:t>第十六部分  政务信息化</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创新高技术处</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熊  伟</w:t>
            </w:r>
          </w:p>
        </w:tc>
        <w:tc>
          <w:tcPr>
            <w:tcW w:w="169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textAlignment w:val="center"/>
              <w:rPr>
                <w:color w:val="000000"/>
                <w:sz w:val="20"/>
                <w:szCs w:val="20"/>
              </w:rPr>
            </w:pPr>
            <w:r>
              <w:rPr>
                <w:color w:val="000000"/>
                <w:kern w:val="0"/>
                <w:sz w:val="20"/>
                <w:szCs w:val="20"/>
                <w:lang w:bidi="ar"/>
              </w:rPr>
              <w:t>0951-5023427    19995139332</w:t>
            </w:r>
          </w:p>
        </w:tc>
      </w:tr>
    </w:tbl>
    <w:p>
      <w:pPr>
        <w:pStyle w:val="2"/>
        <w:widowControl w:val="0"/>
        <w:spacing w:before="0" w:after="0" w:line="240" w:lineRule="atLeast"/>
        <w:ind w:left="0" w:leftChars="0" w:firstLine="0" w:firstLineChars="0"/>
        <w:jc w:val="both"/>
        <w:rPr>
          <w:rFonts w:ascii="Times New Roman" w:hAnsi="Times New Roman" w:eastAsia="方正小标宋_GBK"/>
          <w:sz w:val="44"/>
          <w:szCs w:val="44"/>
          <w:lang w:val="en-US" w:eastAsia="zh-CN"/>
        </w:rPr>
        <w:sectPr>
          <w:headerReference r:id="rId10" w:type="first"/>
          <w:footerReference r:id="rId13" w:type="first"/>
          <w:headerReference r:id="rId8" w:type="default"/>
          <w:footerReference r:id="rId11" w:type="default"/>
          <w:headerReference r:id="rId9" w:type="even"/>
          <w:footerReference r:id="rId12" w:type="even"/>
          <w:pgSz w:w="11907" w:h="16840"/>
          <w:pgMar w:top="1418" w:right="1474" w:bottom="1418" w:left="1588" w:header="851" w:footer="1021" w:gutter="0"/>
          <w:pgNumType w:start="11"/>
          <w:cols w:space="720" w:num="1"/>
          <w:docGrid w:type="lines" w:linePitch="312" w:charSpace="0"/>
        </w:sectPr>
      </w:pPr>
    </w:p>
    <w:p>
      <w:pPr>
        <w:pStyle w:val="2"/>
        <w:widowControl w:val="0"/>
        <w:spacing w:before="0" w:after="0"/>
        <w:ind w:left="0" w:leftChars="0" w:firstLine="0" w:firstLineChars="0"/>
        <w:jc w:val="both"/>
        <w:rPr>
          <w:rFonts w:ascii="黑体" w:hAnsi="黑体" w:eastAsia="黑体"/>
          <w:sz w:val="28"/>
          <w:szCs w:val="28"/>
          <w:lang w:val="en-US" w:eastAsia="zh-CN"/>
        </w:rPr>
      </w:pPr>
      <w:r>
        <w:rPr>
          <w:rFonts w:hint="eastAsia" w:ascii="黑体" w:hAnsi="黑体" w:eastAsia="黑体"/>
          <w:sz w:val="28"/>
          <w:szCs w:val="28"/>
          <w:lang w:val="en-US" w:eastAsia="zh-CN"/>
        </w:rPr>
        <w:t>附件</w:t>
      </w:r>
      <w:r>
        <w:rPr>
          <w:rFonts w:ascii="黑体" w:hAnsi="黑体" w:eastAsia="黑体"/>
          <w:sz w:val="28"/>
          <w:szCs w:val="28"/>
          <w:lang w:val="en-US" w:eastAsia="zh-CN"/>
        </w:rPr>
        <w:t>2</w:t>
      </w:r>
    </w:p>
    <w:p>
      <w:pPr>
        <w:pStyle w:val="2"/>
        <w:widowControl w:val="0"/>
        <w:spacing w:before="0" w:after="0" w:line="300" w:lineRule="exact"/>
        <w:ind w:left="0" w:leftChars="0" w:firstLine="0" w:firstLineChars="0"/>
        <w:jc w:val="center"/>
        <w:rPr>
          <w:rFonts w:ascii="Times New Roman" w:hAnsi="Times New Roman" w:eastAsia="方正小标宋_GBK"/>
          <w:sz w:val="32"/>
          <w:szCs w:val="32"/>
          <w:lang w:val="en-US" w:eastAsia="zh-CN"/>
        </w:rPr>
      </w:pPr>
    </w:p>
    <w:p>
      <w:pPr>
        <w:pStyle w:val="2"/>
        <w:widowControl w:val="0"/>
        <w:spacing w:before="0" w:after="0" w:line="600" w:lineRule="exact"/>
        <w:ind w:left="0" w:leftChars="0" w:firstLine="0" w:firstLineChars="0"/>
        <w:jc w:val="center"/>
        <w:rPr>
          <w:rFonts w:hint="eastAsia" w:ascii="Times New Roman" w:hAnsi="Times New Roman" w:eastAsia="方正小标宋_GBK"/>
          <w:sz w:val="44"/>
          <w:szCs w:val="44"/>
          <w:lang w:val="en-US" w:eastAsia="zh-CN"/>
        </w:rPr>
      </w:pPr>
      <w:r>
        <w:rPr>
          <w:rFonts w:hint="eastAsia" w:ascii="Times New Roman" w:hAnsi="Times New Roman" w:eastAsia="方正小标宋_GBK"/>
          <w:sz w:val="44"/>
          <w:szCs w:val="44"/>
          <w:lang w:val="en-US" w:eastAsia="zh-CN"/>
        </w:rPr>
        <w:t>盐池县发展和改革局谋划项目</w:t>
      </w:r>
    </w:p>
    <w:p>
      <w:pPr>
        <w:pStyle w:val="2"/>
        <w:widowControl w:val="0"/>
        <w:spacing w:before="0" w:after="0" w:line="600" w:lineRule="exact"/>
        <w:ind w:left="0" w:leftChars="0" w:firstLine="0" w:firstLineChars="0"/>
        <w:jc w:val="center"/>
        <w:rPr>
          <w:rFonts w:ascii="Times New Roman" w:hAnsi="Times New Roman" w:eastAsia="方正小标宋_GBK"/>
          <w:sz w:val="44"/>
          <w:szCs w:val="44"/>
          <w:lang w:val="en-US" w:eastAsia="zh-CN"/>
        </w:rPr>
      </w:pPr>
      <w:r>
        <w:rPr>
          <w:rFonts w:hint="eastAsia" w:ascii="Times New Roman" w:hAnsi="Times New Roman" w:eastAsia="方正小标宋_GBK"/>
          <w:sz w:val="44"/>
          <w:szCs w:val="44"/>
          <w:lang w:val="en-US" w:eastAsia="zh-CN"/>
        </w:rPr>
        <w:t>对口科室联系方式一览表</w:t>
      </w:r>
    </w:p>
    <w:p>
      <w:pPr>
        <w:pStyle w:val="2"/>
        <w:widowControl w:val="0"/>
        <w:spacing w:before="0" w:after="156" w:afterLines="50" w:line="40" w:lineRule="exact"/>
        <w:ind w:left="0" w:leftChars="0" w:firstLine="0" w:firstLineChars="0"/>
        <w:jc w:val="center"/>
        <w:rPr>
          <w:rFonts w:ascii="Times New Roman" w:hAnsi="Times New Roman" w:eastAsia="方正小标宋_GBK"/>
          <w:sz w:val="32"/>
          <w:szCs w:val="32"/>
          <w:lang w:val="en-US" w:eastAsia="zh-CN"/>
        </w:rPr>
      </w:pPr>
    </w:p>
    <w:tbl>
      <w:tblPr>
        <w:tblStyle w:val="15"/>
        <w:tblW w:w="9031" w:type="dxa"/>
        <w:jc w:val="center"/>
        <w:tblLayout w:type="fixed"/>
        <w:tblCellMar>
          <w:top w:w="15" w:type="dxa"/>
          <w:left w:w="15" w:type="dxa"/>
          <w:bottom w:w="15" w:type="dxa"/>
          <w:right w:w="15" w:type="dxa"/>
        </w:tblCellMar>
      </w:tblPr>
      <w:tblGrid>
        <w:gridCol w:w="2173"/>
        <w:gridCol w:w="1572"/>
        <w:gridCol w:w="2120"/>
        <w:gridCol w:w="3166"/>
      </w:tblGrid>
      <w:tr>
        <w:trPr>
          <w:trHeight w:val="618" w:hRule="atLeast"/>
          <w:jc w:val="center"/>
        </w:trPr>
        <w:tc>
          <w:tcPr>
            <w:tcW w:w="217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黑体" w:hAnsi="黑体" w:eastAsia="黑体" w:cs="黑体"/>
                <w:bCs/>
                <w:color w:val="000000"/>
                <w:kern w:val="0"/>
                <w:sz w:val="30"/>
                <w:szCs w:val="30"/>
                <w:lang w:bidi="ar"/>
              </w:rPr>
            </w:pPr>
            <w:r>
              <w:rPr>
                <w:rFonts w:hint="eastAsia" w:ascii="黑体" w:hAnsi="黑体" w:eastAsia="黑体" w:cs="黑体"/>
                <w:bCs/>
                <w:color w:val="000000"/>
                <w:kern w:val="0"/>
                <w:sz w:val="30"/>
                <w:szCs w:val="30"/>
                <w:lang w:bidi="ar"/>
              </w:rPr>
              <w:t>分管领导</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黑体" w:hAnsi="黑体" w:eastAsia="黑体" w:cs="黑体"/>
                <w:bCs/>
                <w:color w:val="000000"/>
                <w:sz w:val="30"/>
                <w:szCs w:val="30"/>
              </w:rPr>
            </w:pPr>
            <w:r>
              <w:rPr>
                <w:rFonts w:hint="eastAsia" w:ascii="黑体" w:hAnsi="黑体" w:eastAsia="黑体" w:cs="黑体"/>
                <w:bCs/>
                <w:color w:val="000000"/>
                <w:kern w:val="0"/>
                <w:sz w:val="30"/>
                <w:szCs w:val="30"/>
                <w:lang w:bidi="ar"/>
              </w:rPr>
              <w:t>联系人</w:t>
            </w:r>
          </w:p>
        </w:tc>
        <w:tc>
          <w:tcPr>
            <w:tcW w:w="21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黑体" w:hAnsi="黑体" w:eastAsia="黑体" w:cs="黑体"/>
                <w:bCs/>
                <w:color w:val="000000"/>
                <w:kern w:val="0"/>
                <w:sz w:val="30"/>
                <w:szCs w:val="30"/>
                <w:lang w:bidi="ar"/>
              </w:rPr>
            </w:pPr>
            <w:r>
              <w:rPr>
                <w:rFonts w:hint="eastAsia" w:ascii="黑体" w:hAnsi="黑体" w:eastAsia="黑体" w:cs="黑体"/>
                <w:bCs/>
                <w:color w:val="000000"/>
                <w:kern w:val="0"/>
                <w:sz w:val="30"/>
                <w:szCs w:val="30"/>
                <w:lang w:bidi="ar"/>
              </w:rPr>
              <w:t>联系电话</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黑体" w:hAnsi="黑体" w:eastAsia="黑体" w:cs="黑体"/>
                <w:bCs/>
                <w:color w:val="000000"/>
                <w:sz w:val="30"/>
                <w:szCs w:val="30"/>
              </w:rPr>
            </w:pPr>
            <w:r>
              <w:rPr>
                <w:rFonts w:hint="eastAsia" w:ascii="黑体" w:hAnsi="黑体" w:eastAsia="黑体" w:cs="黑体"/>
                <w:bCs/>
                <w:color w:val="000000"/>
                <w:kern w:val="0"/>
                <w:sz w:val="30"/>
                <w:szCs w:val="30"/>
                <w:lang w:bidi="ar"/>
              </w:rPr>
              <w:t>专项</w:t>
            </w:r>
            <w:r>
              <w:rPr>
                <w:rFonts w:ascii="黑体" w:hAnsi="黑体" w:eastAsia="黑体" w:cs="黑体"/>
                <w:bCs/>
                <w:color w:val="000000"/>
                <w:kern w:val="0"/>
                <w:sz w:val="30"/>
                <w:szCs w:val="30"/>
                <w:lang w:bidi="ar"/>
              </w:rPr>
              <w:t>(</w:t>
            </w:r>
            <w:r>
              <w:rPr>
                <w:rFonts w:hint="eastAsia" w:ascii="黑体" w:hAnsi="黑体" w:eastAsia="黑体" w:cs="黑体"/>
                <w:bCs/>
                <w:color w:val="000000"/>
                <w:kern w:val="0"/>
                <w:sz w:val="30"/>
                <w:szCs w:val="30"/>
                <w:lang w:bidi="ar"/>
              </w:rPr>
              <w:t>项目）</w:t>
            </w:r>
          </w:p>
        </w:tc>
      </w:tr>
      <w:tr>
        <w:trPr>
          <w:trHeight w:val="940" w:hRule="atLeast"/>
          <w:jc w:val="center"/>
        </w:trPr>
        <w:tc>
          <w:tcPr>
            <w:tcW w:w="2173" w:type="dxa"/>
            <w:vMerge w:val="restart"/>
            <w:tcBorders>
              <w:top w:val="single" w:color="000000" w:sz="4" w:space="0"/>
              <w:left w:val="single" w:color="000000" w:sz="4" w:space="0"/>
              <w:right w:val="single" w:color="000000" w:sz="4" w:space="0"/>
            </w:tcBorders>
            <w:noWrap w:val="0"/>
            <w:vAlign w:val="center"/>
          </w:tcPr>
          <w:p>
            <w:pPr>
              <w:spacing w:line="400" w:lineRule="exact"/>
              <w:jc w:val="center"/>
              <w:textAlignment w:val="center"/>
              <w:rPr>
                <w:sz w:val="28"/>
                <w:szCs w:val="28"/>
              </w:rPr>
            </w:pPr>
            <w:r>
              <w:rPr>
                <w:rFonts w:hint="eastAsia"/>
                <w:sz w:val="28"/>
                <w:szCs w:val="28"/>
              </w:rPr>
              <w:t>陈慧</w:t>
            </w:r>
          </w:p>
          <w:p>
            <w:pPr>
              <w:spacing w:line="400" w:lineRule="exact"/>
              <w:jc w:val="center"/>
              <w:textAlignment w:val="center"/>
              <w:rPr>
                <w:sz w:val="28"/>
                <w:szCs w:val="28"/>
              </w:rPr>
            </w:pPr>
            <w:r>
              <w:rPr>
                <w:color w:val="000000"/>
                <w:kern w:val="0"/>
                <w:sz w:val="28"/>
                <w:szCs w:val="28"/>
                <w:lang w:bidi="ar"/>
              </w:rPr>
              <w:t>13895351956</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color w:val="000000"/>
                <w:sz w:val="28"/>
                <w:szCs w:val="28"/>
              </w:rPr>
            </w:pPr>
            <w:r>
              <w:rPr>
                <w:rFonts w:hint="eastAsia"/>
                <w:color w:val="000000"/>
                <w:kern w:val="0"/>
                <w:sz w:val="28"/>
                <w:szCs w:val="28"/>
                <w:lang w:bidi="ar"/>
              </w:rPr>
              <w:t>牛创民</w:t>
            </w:r>
          </w:p>
        </w:tc>
        <w:tc>
          <w:tcPr>
            <w:tcW w:w="21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color w:val="000000"/>
                <w:kern w:val="0"/>
                <w:sz w:val="28"/>
                <w:szCs w:val="28"/>
                <w:lang w:bidi="ar"/>
              </w:rPr>
            </w:pPr>
            <w:r>
              <w:rPr>
                <w:color w:val="000000"/>
                <w:kern w:val="0"/>
                <w:sz w:val="28"/>
                <w:szCs w:val="28"/>
                <w:lang w:bidi="ar"/>
              </w:rPr>
              <w:t>13995154517</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color w:val="000000"/>
                <w:sz w:val="28"/>
                <w:szCs w:val="28"/>
              </w:rPr>
            </w:pPr>
            <w:r>
              <w:rPr>
                <w:rFonts w:hint="eastAsia"/>
                <w:color w:val="000000"/>
                <w:kern w:val="0"/>
                <w:sz w:val="28"/>
                <w:szCs w:val="28"/>
                <w:lang w:bidi="ar"/>
              </w:rPr>
              <w:t>服务业项目</w:t>
            </w:r>
          </w:p>
        </w:tc>
      </w:tr>
      <w:tr>
        <w:trPr>
          <w:trHeight w:val="994" w:hRule="atLeast"/>
          <w:jc w:val="center"/>
        </w:trPr>
        <w:tc>
          <w:tcPr>
            <w:tcW w:w="2173" w:type="dxa"/>
            <w:vMerge w:val="continue"/>
            <w:tcBorders>
              <w:left w:val="single" w:color="000000" w:sz="4" w:space="0"/>
              <w:bottom w:val="single" w:color="000000" w:sz="4" w:space="0"/>
              <w:right w:val="single" w:color="000000" w:sz="4" w:space="0"/>
            </w:tcBorders>
            <w:noWrap w:val="0"/>
            <w:vAlign w:val="center"/>
          </w:tcPr>
          <w:p>
            <w:pPr>
              <w:spacing w:line="400" w:lineRule="exact"/>
              <w:jc w:val="center"/>
              <w:textAlignment w:val="center"/>
              <w:rPr>
                <w:color w:val="000000"/>
                <w:kern w:val="0"/>
                <w:sz w:val="28"/>
                <w:szCs w:val="28"/>
                <w:lang w:bidi="ar"/>
              </w:rPr>
            </w:pP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color w:val="000000"/>
                <w:sz w:val="28"/>
                <w:szCs w:val="28"/>
              </w:rPr>
            </w:pPr>
            <w:r>
              <w:rPr>
                <w:rFonts w:hint="eastAsia"/>
                <w:color w:val="000000"/>
                <w:sz w:val="28"/>
                <w:szCs w:val="28"/>
              </w:rPr>
              <w:t>呼培钰</w:t>
            </w:r>
          </w:p>
        </w:tc>
        <w:tc>
          <w:tcPr>
            <w:tcW w:w="21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color w:val="000000"/>
                <w:kern w:val="0"/>
                <w:sz w:val="28"/>
                <w:szCs w:val="28"/>
                <w:lang w:bidi="ar"/>
              </w:rPr>
            </w:pPr>
            <w:r>
              <w:rPr>
                <w:color w:val="000000"/>
                <w:kern w:val="0"/>
                <w:sz w:val="28"/>
                <w:szCs w:val="28"/>
                <w:lang w:bidi="ar"/>
              </w:rPr>
              <w:t>18295134856</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color w:val="000000"/>
                <w:sz w:val="28"/>
                <w:szCs w:val="28"/>
              </w:rPr>
            </w:pPr>
            <w:r>
              <w:rPr>
                <w:rFonts w:hint="eastAsia"/>
                <w:color w:val="000000"/>
                <w:kern w:val="0"/>
                <w:sz w:val="28"/>
                <w:szCs w:val="28"/>
                <w:lang w:bidi="ar"/>
              </w:rPr>
              <w:t>交通城市基础设施项目</w:t>
            </w:r>
          </w:p>
        </w:tc>
      </w:tr>
      <w:tr>
        <w:trPr>
          <w:trHeight w:val="1204" w:hRule="atLeast"/>
          <w:jc w:val="center"/>
        </w:trPr>
        <w:tc>
          <w:tcPr>
            <w:tcW w:w="217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sz w:val="28"/>
                <w:szCs w:val="28"/>
              </w:rPr>
            </w:pPr>
            <w:r>
              <w:rPr>
                <w:rFonts w:hint="eastAsia"/>
                <w:sz w:val="28"/>
                <w:szCs w:val="28"/>
              </w:rPr>
              <w:t>钱永智</w:t>
            </w:r>
            <w:r>
              <w:rPr>
                <w:color w:val="000000"/>
                <w:kern w:val="0"/>
                <w:sz w:val="28"/>
                <w:szCs w:val="28"/>
                <w:lang w:bidi="ar"/>
              </w:rPr>
              <w:t>13909534876</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sz w:val="28"/>
                <w:szCs w:val="28"/>
              </w:rPr>
            </w:pPr>
            <w:r>
              <w:rPr>
                <w:rFonts w:hint="eastAsia"/>
                <w:sz w:val="28"/>
                <w:szCs w:val="28"/>
              </w:rPr>
              <w:t>顾炎卿</w:t>
            </w:r>
          </w:p>
        </w:tc>
        <w:tc>
          <w:tcPr>
            <w:tcW w:w="21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color w:val="000000"/>
                <w:sz w:val="28"/>
                <w:szCs w:val="28"/>
              </w:rPr>
            </w:pPr>
            <w:r>
              <w:rPr>
                <w:color w:val="000000"/>
                <w:sz w:val="28"/>
                <w:szCs w:val="28"/>
              </w:rPr>
              <w:t>18995325631</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color w:val="000000"/>
                <w:sz w:val="28"/>
                <w:szCs w:val="28"/>
              </w:rPr>
            </w:pPr>
            <w:r>
              <w:rPr>
                <w:rFonts w:hint="eastAsia"/>
                <w:color w:val="000000"/>
                <w:sz w:val="28"/>
                <w:szCs w:val="28"/>
              </w:rPr>
              <w:t>工业项目</w:t>
            </w:r>
          </w:p>
        </w:tc>
      </w:tr>
      <w:tr>
        <w:trPr>
          <w:trHeight w:val="1043" w:hRule="atLeast"/>
          <w:jc w:val="center"/>
        </w:trPr>
        <w:tc>
          <w:tcPr>
            <w:tcW w:w="2173" w:type="dxa"/>
            <w:vMerge w:val="restart"/>
            <w:tcBorders>
              <w:top w:val="single" w:color="000000" w:sz="4" w:space="0"/>
              <w:left w:val="single" w:color="000000" w:sz="4" w:space="0"/>
              <w:right w:val="single" w:color="000000" w:sz="4" w:space="0"/>
            </w:tcBorders>
            <w:noWrap w:val="0"/>
            <w:vAlign w:val="center"/>
          </w:tcPr>
          <w:p>
            <w:pPr>
              <w:spacing w:line="400" w:lineRule="exact"/>
              <w:jc w:val="center"/>
              <w:textAlignment w:val="center"/>
              <w:rPr>
                <w:color w:val="000000"/>
                <w:kern w:val="0"/>
                <w:sz w:val="28"/>
                <w:szCs w:val="28"/>
                <w:lang w:bidi="ar"/>
              </w:rPr>
            </w:pPr>
            <w:r>
              <w:rPr>
                <w:rFonts w:hint="eastAsia"/>
                <w:color w:val="000000"/>
                <w:kern w:val="0"/>
                <w:sz w:val="28"/>
                <w:szCs w:val="28"/>
                <w:lang w:bidi="ar"/>
              </w:rPr>
              <w:t>张文懋</w:t>
            </w:r>
          </w:p>
          <w:p>
            <w:pPr>
              <w:spacing w:line="400" w:lineRule="exact"/>
              <w:jc w:val="center"/>
              <w:textAlignment w:val="center"/>
              <w:rPr>
                <w:color w:val="000000"/>
                <w:kern w:val="0"/>
                <w:sz w:val="28"/>
                <w:szCs w:val="28"/>
                <w:lang w:bidi="ar"/>
              </w:rPr>
            </w:pPr>
            <w:r>
              <w:rPr>
                <w:color w:val="000000"/>
                <w:kern w:val="0"/>
                <w:sz w:val="28"/>
                <w:szCs w:val="28"/>
                <w:lang w:bidi="ar"/>
              </w:rPr>
              <w:t>18995350828</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color w:val="000000"/>
                <w:kern w:val="0"/>
                <w:sz w:val="28"/>
                <w:szCs w:val="28"/>
                <w:lang w:bidi="ar"/>
              </w:rPr>
            </w:pPr>
            <w:r>
              <w:rPr>
                <w:rFonts w:hint="eastAsia"/>
                <w:color w:val="000000"/>
                <w:kern w:val="0"/>
                <w:sz w:val="28"/>
                <w:szCs w:val="28"/>
                <w:lang w:bidi="ar"/>
              </w:rPr>
              <w:t>王金莲</w:t>
            </w:r>
          </w:p>
        </w:tc>
        <w:tc>
          <w:tcPr>
            <w:tcW w:w="212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color w:val="000000"/>
                <w:kern w:val="0"/>
                <w:sz w:val="28"/>
                <w:szCs w:val="28"/>
                <w:lang w:bidi="ar"/>
              </w:rPr>
            </w:pPr>
            <w:r>
              <w:rPr>
                <w:color w:val="000000"/>
                <w:kern w:val="0"/>
                <w:sz w:val="28"/>
                <w:szCs w:val="28"/>
                <w:lang w:bidi="ar"/>
              </w:rPr>
              <w:t>13895238843</w:t>
            </w:r>
          </w:p>
        </w:tc>
        <w:tc>
          <w:tcPr>
            <w:tcW w:w="316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color w:val="000000"/>
                <w:kern w:val="0"/>
                <w:sz w:val="28"/>
                <w:szCs w:val="28"/>
                <w:lang w:bidi="ar"/>
              </w:rPr>
            </w:pPr>
            <w:r>
              <w:rPr>
                <w:rFonts w:hint="eastAsia"/>
                <w:color w:val="000000"/>
                <w:kern w:val="0"/>
                <w:sz w:val="28"/>
                <w:szCs w:val="28"/>
                <w:lang w:bidi="ar"/>
              </w:rPr>
              <w:t>社会事业项目</w:t>
            </w:r>
          </w:p>
        </w:tc>
      </w:tr>
      <w:tr>
        <w:trPr>
          <w:trHeight w:val="1113" w:hRule="atLeast"/>
          <w:jc w:val="center"/>
        </w:trPr>
        <w:tc>
          <w:tcPr>
            <w:tcW w:w="2173" w:type="dxa"/>
            <w:vMerge w:val="continue"/>
            <w:tcBorders>
              <w:left w:val="single" w:color="000000" w:sz="4" w:space="0"/>
              <w:bottom w:val="single" w:color="000000" w:sz="4" w:space="0"/>
              <w:right w:val="single" w:color="000000" w:sz="4" w:space="0"/>
            </w:tcBorders>
            <w:noWrap w:val="0"/>
            <w:vAlign w:val="center"/>
          </w:tcPr>
          <w:p>
            <w:pPr>
              <w:spacing w:line="400" w:lineRule="exact"/>
              <w:jc w:val="center"/>
              <w:textAlignment w:val="center"/>
              <w:rPr>
                <w:color w:val="000000"/>
                <w:kern w:val="0"/>
                <w:sz w:val="28"/>
                <w:szCs w:val="28"/>
                <w:lang w:bidi="ar"/>
              </w:rPr>
            </w:pPr>
          </w:p>
        </w:tc>
        <w:tc>
          <w:tcPr>
            <w:tcW w:w="1572" w:type="dxa"/>
            <w:tcBorders>
              <w:top w:val="single" w:color="000000" w:sz="4" w:space="0"/>
              <w:left w:val="single" w:color="000000" w:sz="4" w:space="0"/>
              <w:bottom w:val="single" w:color="000000" w:sz="4" w:space="0"/>
              <w:right w:val="single" w:color="auto" w:sz="4" w:space="0"/>
            </w:tcBorders>
            <w:noWrap w:val="0"/>
            <w:vAlign w:val="center"/>
          </w:tcPr>
          <w:p>
            <w:pPr>
              <w:spacing w:line="400" w:lineRule="exact"/>
              <w:jc w:val="center"/>
              <w:textAlignment w:val="center"/>
              <w:rPr>
                <w:color w:val="000000"/>
                <w:sz w:val="28"/>
                <w:szCs w:val="28"/>
              </w:rPr>
            </w:pPr>
            <w:r>
              <w:rPr>
                <w:rFonts w:hint="eastAsia"/>
                <w:color w:val="000000"/>
                <w:kern w:val="0"/>
                <w:sz w:val="28"/>
                <w:szCs w:val="28"/>
                <w:lang w:bidi="ar"/>
              </w:rPr>
              <w:t>姜妍君</w:t>
            </w:r>
          </w:p>
        </w:tc>
        <w:tc>
          <w:tcPr>
            <w:tcW w:w="2120" w:type="dxa"/>
            <w:tcBorders>
              <w:top w:val="single" w:color="000000" w:sz="4" w:space="0"/>
              <w:left w:val="single" w:color="000000" w:sz="4" w:space="0"/>
              <w:bottom w:val="single" w:color="000000" w:sz="4" w:space="0"/>
              <w:right w:val="single" w:color="auto" w:sz="4" w:space="0"/>
            </w:tcBorders>
            <w:noWrap w:val="0"/>
            <w:vAlign w:val="center"/>
          </w:tcPr>
          <w:p>
            <w:pPr>
              <w:spacing w:line="400" w:lineRule="exact"/>
              <w:jc w:val="center"/>
              <w:textAlignment w:val="center"/>
              <w:rPr>
                <w:color w:val="000000"/>
                <w:kern w:val="0"/>
                <w:sz w:val="28"/>
                <w:szCs w:val="28"/>
                <w:lang w:bidi="ar"/>
              </w:rPr>
            </w:pPr>
            <w:r>
              <w:rPr>
                <w:color w:val="000000"/>
                <w:kern w:val="0"/>
                <w:sz w:val="28"/>
                <w:szCs w:val="28"/>
                <w:lang w:bidi="ar"/>
              </w:rPr>
              <w:t>17795350009</w:t>
            </w:r>
          </w:p>
        </w:tc>
        <w:tc>
          <w:tcPr>
            <w:tcW w:w="3166" w:type="dxa"/>
            <w:tcBorders>
              <w:top w:val="single" w:color="000000" w:sz="4" w:space="0"/>
              <w:left w:val="single" w:color="000000" w:sz="4" w:space="0"/>
              <w:bottom w:val="single" w:color="000000" w:sz="4" w:space="0"/>
              <w:right w:val="single" w:color="auto" w:sz="4" w:space="0"/>
            </w:tcBorders>
            <w:noWrap w:val="0"/>
            <w:vAlign w:val="center"/>
          </w:tcPr>
          <w:p>
            <w:pPr>
              <w:spacing w:line="400" w:lineRule="exact"/>
              <w:jc w:val="center"/>
              <w:textAlignment w:val="center"/>
              <w:rPr>
                <w:color w:val="000000"/>
                <w:sz w:val="28"/>
                <w:szCs w:val="28"/>
              </w:rPr>
            </w:pPr>
            <w:r>
              <w:rPr>
                <w:rFonts w:hint="eastAsia"/>
                <w:color w:val="000000"/>
                <w:kern w:val="0"/>
                <w:sz w:val="28"/>
                <w:szCs w:val="28"/>
                <w:lang w:bidi="ar"/>
              </w:rPr>
              <w:t>城镇基础设施项目</w:t>
            </w:r>
          </w:p>
        </w:tc>
      </w:tr>
      <w:tr>
        <w:trPr>
          <w:trHeight w:val="1027" w:hRule="atLeast"/>
          <w:jc w:val="center"/>
        </w:trPr>
        <w:tc>
          <w:tcPr>
            <w:tcW w:w="2173" w:type="dxa"/>
            <w:vMerge w:val="restart"/>
            <w:tcBorders>
              <w:top w:val="single" w:color="000000" w:sz="4" w:space="0"/>
              <w:left w:val="single" w:color="000000" w:sz="4" w:space="0"/>
              <w:right w:val="single" w:color="auto" w:sz="4" w:space="0"/>
            </w:tcBorders>
            <w:noWrap w:val="0"/>
            <w:vAlign w:val="center"/>
          </w:tcPr>
          <w:p>
            <w:pPr>
              <w:spacing w:line="400" w:lineRule="exact"/>
              <w:jc w:val="center"/>
              <w:textAlignment w:val="center"/>
              <w:rPr>
                <w:color w:val="000000"/>
                <w:kern w:val="0"/>
                <w:sz w:val="28"/>
                <w:szCs w:val="28"/>
                <w:lang w:bidi="ar"/>
              </w:rPr>
            </w:pPr>
            <w:r>
              <w:rPr>
                <w:rFonts w:hint="eastAsia"/>
                <w:color w:val="000000"/>
                <w:kern w:val="0"/>
                <w:sz w:val="28"/>
                <w:szCs w:val="28"/>
                <w:lang w:bidi="ar"/>
              </w:rPr>
              <w:t>郝峰茂</w:t>
            </w:r>
          </w:p>
          <w:p>
            <w:pPr>
              <w:spacing w:line="400" w:lineRule="exact"/>
              <w:jc w:val="center"/>
              <w:textAlignment w:val="center"/>
              <w:rPr>
                <w:color w:val="000000"/>
                <w:kern w:val="0"/>
                <w:sz w:val="28"/>
                <w:szCs w:val="28"/>
                <w:lang w:bidi="ar"/>
              </w:rPr>
            </w:pPr>
            <w:r>
              <w:rPr>
                <w:color w:val="000000"/>
                <w:kern w:val="0"/>
                <w:sz w:val="28"/>
                <w:szCs w:val="28"/>
                <w:lang w:bidi="ar"/>
              </w:rPr>
              <w:t>13895055198</w:t>
            </w:r>
          </w:p>
        </w:tc>
        <w:tc>
          <w:tcPr>
            <w:tcW w:w="1572" w:type="dxa"/>
            <w:vMerge w:val="restart"/>
            <w:tcBorders>
              <w:top w:val="single" w:color="000000" w:sz="4" w:space="0"/>
              <w:left w:val="single" w:color="000000" w:sz="4" w:space="0"/>
              <w:right w:val="single" w:color="auto" w:sz="4" w:space="0"/>
            </w:tcBorders>
            <w:noWrap w:val="0"/>
            <w:vAlign w:val="center"/>
          </w:tcPr>
          <w:p>
            <w:pPr>
              <w:spacing w:line="400" w:lineRule="exact"/>
              <w:jc w:val="center"/>
              <w:textAlignment w:val="center"/>
              <w:rPr>
                <w:sz w:val="28"/>
                <w:szCs w:val="28"/>
              </w:rPr>
            </w:pPr>
            <w:r>
              <w:rPr>
                <w:rFonts w:hint="eastAsia"/>
                <w:sz w:val="28"/>
                <w:szCs w:val="28"/>
              </w:rPr>
              <w:t>陈芳怡</w:t>
            </w:r>
          </w:p>
        </w:tc>
        <w:tc>
          <w:tcPr>
            <w:tcW w:w="2120" w:type="dxa"/>
            <w:vMerge w:val="restart"/>
            <w:tcBorders>
              <w:top w:val="single" w:color="000000" w:sz="4" w:space="0"/>
              <w:left w:val="single" w:color="000000" w:sz="4" w:space="0"/>
              <w:right w:val="single" w:color="auto" w:sz="4" w:space="0"/>
            </w:tcBorders>
            <w:noWrap w:val="0"/>
            <w:vAlign w:val="center"/>
          </w:tcPr>
          <w:p>
            <w:pPr>
              <w:spacing w:line="400" w:lineRule="exact"/>
              <w:jc w:val="center"/>
              <w:textAlignment w:val="center"/>
              <w:rPr>
                <w:color w:val="000000"/>
                <w:kern w:val="0"/>
                <w:sz w:val="28"/>
                <w:szCs w:val="28"/>
                <w:lang w:bidi="ar"/>
              </w:rPr>
            </w:pPr>
            <w:r>
              <w:rPr>
                <w:color w:val="000000"/>
                <w:kern w:val="0"/>
                <w:sz w:val="28"/>
                <w:szCs w:val="28"/>
                <w:lang w:bidi="ar"/>
              </w:rPr>
              <w:t>18810913996</w:t>
            </w:r>
          </w:p>
        </w:tc>
        <w:tc>
          <w:tcPr>
            <w:tcW w:w="3166" w:type="dxa"/>
            <w:tcBorders>
              <w:top w:val="single" w:color="000000" w:sz="4" w:space="0"/>
              <w:left w:val="single" w:color="000000" w:sz="4" w:space="0"/>
              <w:bottom w:val="single" w:color="000000" w:sz="4" w:space="0"/>
              <w:right w:val="single" w:color="auto" w:sz="4" w:space="0"/>
            </w:tcBorders>
            <w:noWrap w:val="0"/>
            <w:vAlign w:val="center"/>
          </w:tcPr>
          <w:p>
            <w:pPr>
              <w:spacing w:line="400" w:lineRule="exact"/>
              <w:jc w:val="center"/>
              <w:textAlignment w:val="center"/>
              <w:rPr>
                <w:color w:val="000000"/>
                <w:sz w:val="28"/>
                <w:szCs w:val="28"/>
              </w:rPr>
            </w:pPr>
            <w:r>
              <w:rPr>
                <w:rFonts w:hint="eastAsia"/>
                <w:color w:val="000000"/>
                <w:kern w:val="0"/>
                <w:sz w:val="28"/>
                <w:szCs w:val="28"/>
                <w:lang w:bidi="ar"/>
              </w:rPr>
              <w:t>农林水利基础设施项目</w:t>
            </w:r>
          </w:p>
        </w:tc>
      </w:tr>
      <w:tr>
        <w:trPr>
          <w:trHeight w:val="969" w:hRule="atLeast"/>
          <w:jc w:val="center"/>
        </w:trPr>
        <w:tc>
          <w:tcPr>
            <w:tcW w:w="2173" w:type="dxa"/>
            <w:vMerge w:val="continue"/>
            <w:tcBorders>
              <w:left w:val="single" w:color="000000" w:sz="4" w:space="0"/>
              <w:right w:val="single" w:color="auto" w:sz="4" w:space="0"/>
            </w:tcBorders>
            <w:noWrap w:val="0"/>
            <w:vAlign w:val="center"/>
          </w:tcPr>
          <w:p>
            <w:pPr>
              <w:spacing w:line="400" w:lineRule="exact"/>
              <w:jc w:val="center"/>
              <w:textAlignment w:val="center"/>
              <w:rPr>
                <w:color w:val="000000"/>
                <w:kern w:val="0"/>
                <w:sz w:val="28"/>
                <w:szCs w:val="28"/>
                <w:lang w:bidi="ar"/>
              </w:rPr>
            </w:pPr>
          </w:p>
        </w:tc>
        <w:tc>
          <w:tcPr>
            <w:tcW w:w="1572" w:type="dxa"/>
            <w:vMerge w:val="continue"/>
            <w:tcBorders>
              <w:left w:val="single" w:color="000000" w:sz="4" w:space="0"/>
              <w:right w:val="single" w:color="auto" w:sz="4" w:space="0"/>
            </w:tcBorders>
            <w:noWrap w:val="0"/>
            <w:vAlign w:val="center"/>
          </w:tcPr>
          <w:p>
            <w:pPr>
              <w:spacing w:line="400" w:lineRule="exact"/>
              <w:jc w:val="center"/>
              <w:textAlignment w:val="center"/>
              <w:rPr>
                <w:color w:val="000000"/>
                <w:kern w:val="0"/>
                <w:sz w:val="28"/>
                <w:szCs w:val="28"/>
                <w:lang w:bidi="ar"/>
              </w:rPr>
            </w:pPr>
          </w:p>
        </w:tc>
        <w:tc>
          <w:tcPr>
            <w:tcW w:w="2120" w:type="dxa"/>
            <w:vMerge w:val="continue"/>
            <w:tcBorders>
              <w:left w:val="single" w:color="000000" w:sz="4" w:space="0"/>
              <w:right w:val="single" w:color="auto" w:sz="4" w:space="0"/>
            </w:tcBorders>
            <w:noWrap w:val="0"/>
            <w:vAlign w:val="center"/>
          </w:tcPr>
          <w:p>
            <w:pPr>
              <w:spacing w:line="400" w:lineRule="exact"/>
              <w:jc w:val="center"/>
              <w:textAlignment w:val="center"/>
              <w:rPr>
                <w:color w:val="000000"/>
                <w:kern w:val="0"/>
                <w:sz w:val="28"/>
                <w:szCs w:val="28"/>
                <w:lang w:bidi="ar"/>
              </w:rPr>
            </w:pPr>
          </w:p>
        </w:tc>
        <w:tc>
          <w:tcPr>
            <w:tcW w:w="3166" w:type="dxa"/>
            <w:tcBorders>
              <w:top w:val="single" w:color="000000" w:sz="4" w:space="0"/>
              <w:left w:val="single" w:color="000000" w:sz="4" w:space="0"/>
              <w:bottom w:val="single" w:color="000000" w:sz="4" w:space="0"/>
              <w:right w:val="single" w:color="auto" w:sz="4" w:space="0"/>
            </w:tcBorders>
            <w:noWrap w:val="0"/>
            <w:vAlign w:val="center"/>
          </w:tcPr>
          <w:p>
            <w:pPr>
              <w:spacing w:line="400" w:lineRule="exact"/>
              <w:jc w:val="center"/>
              <w:textAlignment w:val="center"/>
              <w:rPr>
                <w:color w:val="000000"/>
                <w:kern w:val="0"/>
                <w:sz w:val="28"/>
                <w:szCs w:val="28"/>
                <w:lang w:bidi="ar"/>
              </w:rPr>
            </w:pPr>
            <w:r>
              <w:rPr>
                <w:rFonts w:hint="eastAsia"/>
                <w:color w:val="000000"/>
                <w:kern w:val="0"/>
                <w:sz w:val="28"/>
                <w:szCs w:val="28"/>
                <w:lang w:bidi="ar"/>
              </w:rPr>
              <w:t>一产项目</w:t>
            </w:r>
          </w:p>
        </w:tc>
      </w:tr>
      <w:tr>
        <w:trPr>
          <w:trHeight w:val="1072" w:hRule="atLeast"/>
          <w:jc w:val="center"/>
        </w:trPr>
        <w:tc>
          <w:tcPr>
            <w:tcW w:w="2173" w:type="dxa"/>
            <w:vMerge w:val="continue"/>
            <w:tcBorders>
              <w:left w:val="single" w:color="000000" w:sz="4" w:space="0"/>
              <w:bottom w:val="single" w:color="000000" w:sz="4" w:space="0"/>
              <w:right w:val="single" w:color="auto" w:sz="4" w:space="0"/>
            </w:tcBorders>
            <w:noWrap w:val="0"/>
            <w:vAlign w:val="center"/>
          </w:tcPr>
          <w:p>
            <w:pPr>
              <w:spacing w:line="400" w:lineRule="exact"/>
              <w:jc w:val="center"/>
              <w:textAlignment w:val="center"/>
              <w:rPr>
                <w:color w:val="000000"/>
                <w:kern w:val="0"/>
                <w:sz w:val="28"/>
                <w:szCs w:val="28"/>
                <w:lang w:bidi="ar"/>
              </w:rPr>
            </w:pPr>
          </w:p>
        </w:tc>
        <w:tc>
          <w:tcPr>
            <w:tcW w:w="1572" w:type="dxa"/>
            <w:vMerge w:val="continue"/>
            <w:tcBorders>
              <w:left w:val="single" w:color="000000" w:sz="4" w:space="0"/>
              <w:bottom w:val="single" w:color="000000" w:sz="4" w:space="0"/>
              <w:right w:val="single" w:color="auto" w:sz="4" w:space="0"/>
            </w:tcBorders>
            <w:noWrap w:val="0"/>
            <w:vAlign w:val="center"/>
          </w:tcPr>
          <w:p>
            <w:pPr>
              <w:spacing w:line="400" w:lineRule="exact"/>
              <w:jc w:val="center"/>
              <w:textAlignment w:val="center"/>
              <w:rPr>
                <w:color w:val="000000"/>
                <w:kern w:val="0"/>
                <w:sz w:val="28"/>
                <w:szCs w:val="28"/>
                <w:lang w:bidi="ar"/>
              </w:rPr>
            </w:pPr>
          </w:p>
        </w:tc>
        <w:tc>
          <w:tcPr>
            <w:tcW w:w="2120" w:type="dxa"/>
            <w:vMerge w:val="continue"/>
            <w:tcBorders>
              <w:left w:val="single" w:color="000000" w:sz="4" w:space="0"/>
              <w:bottom w:val="single" w:color="000000" w:sz="4" w:space="0"/>
              <w:right w:val="single" w:color="auto" w:sz="4" w:space="0"/>
            </w:tcBorders>
            <w:noWrap w:val="0"/>
            <w:vAlign w:val="center"/>
          </w:tcPr>
          <w:p>
            <w:pPr>
              <w:spacing w:line="400" w:lineRule="exact"/>
              <w:jc w:val="center"/>
              <w:textAlignment w:val="center"/>
              <w:rPr>
                <w:color w:val="000000"/>
                <w:kern w:val="0"/>
                <w:sz w:val="28"/>
                <w:szCs w:val="28"/>
                <w:lang w:bidi="ar"/>
              </w:rPr>
            </w:pPr>
          </w:p>
        </w:tc>
        <w:tc>
          <w:tcPr>
            <w:tcW w:w="3166" w:type="dxa"/>
            <w:tcBorders>
              <w:top w:val="single" w:color="000000" w:sz="4" w:space="0"/>
              <w:left w:val="single" w:color="000000" w:sz="4" w:space="0"/>
              <w:bottom w:val="single" w:color="000000" w:sz="4" w:space="0"/>
              <w:right w:val="single" w:color="auto" w:sz="4" w:space="0"/>
            </w:tcBorders>
            <w:noWrap w:val="0"/>
            <w:vAlign w:val="center"/>
          </w:tcPr>
          <w:p>
            <w:pPr>
              <w:spacing w:line="400" w:lineRule="exact"/>
              <w:jc w:val="center"/>
              <w:textAlignment w:val="center"/>
              <w:rPr>
                <w:color w:val="000000"/>
                <w:kern w:val="0"/>
                <w:sz w:val="28"/>
                <w:szCs w:val="28"/>
                <w:lang w:bidi="ar"/>
              </w:rPr>
            </w:pPr>
            <w:r>
              <w:rPr>
                <w:rFonts w:hint="eastAsia"/>
                <w:color w:val="000000"/>
                <w:kern w:val="0"/>
                <w:sz w:val="28"/>
                <w:szCs w:val="28"/>
                <w:lang w:bidi="ar"/>
              </w:rPr>
              <w:t>生态环保项目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A00002EF" w:usb1="4000004B" w:usb2="00000000" w:usb3="00000000" w:csb0="200000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8"/>
        <w:rFonts w:hint="eastAsia"/>
        <w:sz w:val="28"/>
        <w:szCs w:val="28"/>
      </w:rPr>
    </w:pPr>
    <w:r>
      <w:rPr>
        <w:rStyle w:val="18"/>
        <w:rFonts w:hint="eastAsia"/>
        <w:sz w:val="28"/>
        <w:szCs w:val="28"/>
      </w:rPr>
      <w:t xml:space="preserve">— </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2</w:t>
    </w:r>
    <w:r>
      <w:rPr>
        <w:rStyle w:val="18"/>
        <w:sz w:val="28"/>
        <w:szCs w:val="28"/>
      </w:rPr>
      <w:fldChar w:fldCharType="end"/>
    </w:r>
    <w:r>
      <w:rPr>
        <w:rStyle w:val="18"/>
        <w:rFonts w:hint="eastAsia"/>
        <w:sz w:val="28"/>
        <w:szCs w:val="28"/>
      </w:rPr>
      <w:t xml:space="preserve"> —</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8"/>
        <w:rFonts w:hint="eastAsia"/>
        <w:sz w:val="28"/>
        <w:szCs w:val="28"/>
      </w:rPr>
    </w:pPr>
    <w:r>
      <w:rPr>
        <w:rStyle w:val="18"/>
        <w:rFonts w:hint="eastAsia"/>
        <w:sz w:val="28"/>
        <w:szCs w:val="28"/>
      </w:rPr>
      <w:t xml:space="preserve">— </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6</w:t>
    </w:r>
    <w:r>
      <w:rPr>
        <w:rStyle w:val="18"/>
        <w:sz w:val="28"/>
        <w:szCs w:val="28"/>
      </w:rPr>
      <w:fldChar w:fldCharType="end"/>
    </w:r>
    <w:r>
      <w:rPr>
        <w:rStyle w:val="18"/>
        <w:rFonts w:hint="eastAsia"/>
        <w:sz w:val="28"/>
        <w:szCs w:val="28"/>
      </w:rPr>
      <w:t xml:space="preserve"> —</w:t>
    </w:r>
  </w:p>
  <w:p>
    <w:pPr>
      <w:pStyle w:val="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8"/>
        <w:rFonts w:hint="eastAsia"/>
        <w:sz w:val="28"/>
        <w:szCs w:val="28"/>
      </w:rPr>
    </w:pPr>
    <w:r>
      <w:rPr>
        <w:rStyle w:val="18"/>
        <w:rFonts w:hint="eastAsia"/>
        <w:sz w:val="28"/>
        <w:szCs w:val="28"/>
      </w:rPr>
      <w:t xml:space="preserve">— </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10</w:t>
    </w:r>
    <w:r>
      <w:rPr>
        <w:rStyle w:val="18"/>
        <w:sz w:val="28"/>
        <w:szCs w:val="28"/>
      </w:rPr>
      <w:fldChar w:fldCharType="end"/>
    </w:r>
    <w:r>
      <w:rPr>
        <w:rStyle w:val="18"/>
        <w:rFonts w:hint="eastAsia"/>
        <w:sz w:val="28"/>
        <w:szCs w:val="28"/>
      </w:rPr>
      <w:t xml:space="preserve"> —</w:t>
    </w:r>
  </w:p>
  <w:p>
    <w:pPr>
      <w:pStyle w:val="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8"/>
        <w:rFonts w:hint="eastAsia"/>
        <w:sz w:val="28"/>
        <w:szCs w:val="28"/>
      </w:rPr>
    </w:pPr>
    <w:r>
      <w:rPr>
        <w:rStyle w:val="18"/>
        <w:rFonts w:hint="eastAsia"/>
        <w:sz w:val="28"/>
        <w:szCs w:val="28"/>
      </w:rPr>
      <w:t xml:space="preserve">— </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129</w:t>
    </w:r>
    <w:r>
      <w:rPr>
        <w:rStyle w:val="18"/>
        <w:sz w:val="28"/>
        <w:szCs w:val="28"/>
      </w:rPr>
      <w:fldChar w:fldCharType="end"/>
    </w:r>
    <w:r>
      <w:rPr>
        <w:rStyle w:val="18"/>
        <w:rFonts w:hint="eastAsia"/>
        <w:sz w:val="28"/>
        <w:szCs w:val="28"/>
      </w:rPr>
      <w:t xml:space="preserve"> —</w:t>
    </w:r>
  </w:p>
  <w:p>
    <w:pPr>
      <w:pStyle w:val="9"/>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end"/>
    </w:r>
  </w:p>
  <w:p>
    <w:pPr>
      <w:pStyle w:val="9"/>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pBdr>
                              <w:between w:val="none" w:color="auto" w:sz="0" w:space="0"/>
                            </w:pBdr>
                            <w:rPr>
                              <w:rFonts w:hint="eastAsia" w:ascii="宋体" w:hAnsi="宋体" w:eastAsia="宋体"/>
                              <w:sz w:val="28"/>
                            </w:rPr>
                          </w:pPr>
                          <w:r>
                            <w:rPr>
                              <w:rFonts w:hint="eastAsia" w:ascii="宋体" w:hAnsi="宋体" w:eastAsia="宋体"/>
                              <w:sz w:val="28"/>
                            </w:rPr>
                            <w:fldChar w:fldCharType="begin"/>
                          </w:r>
                          <w:r>
                            <w:rPr>
                              <w:rStyle w:val="18"/>
                              <w:rFonts w:hint="eastAsia" w:ascii="宋体" w:hAnsi="宋体" w:eastAsia="宋体"/>
                              <w:sz w:val="28"/>
                            </w:rPr>
                            <w:instrText xml:space="preserve"> PAGE  </w:instrText>
                          </w:r>
                          <w:r>
                            <w:rPr>
                              <w:rFonts w:hint="eastAsia" w:ascii="宋体" w:hAnsi="宋体" w:eastAsia="宋体"/>
                              <w:sz w:val="28"/>
                            </w:rPr>
                            <w:fldChar w:fldCharType="separate"/>
                          </w:r>
                          <w:r>
                            <w:rPr>
                              <w:rStyle w:val="18"/>
                              <w:rFonts w:ascii="宋体" w:hAnsi="宋体" w:eastAsia="宋体"/>
                              <w:sz w:val="28"/>
                            </w:rPr>
                            <w:t>130</w:t>
                          </w:r>
                          <w:r>
                            <w:rPr>
                              <w:rFonts w:hint="eastAsia" w:ascii="宋体" w:hAnsi="宋体" w:eastAsia="宋体"/>
                              <w:sz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height:144pt;width:144pt;mso-position-horizontal:center;mso-position-horizontal-relative:margin;mso-position-vertical:top;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9"/>
                      <w:pBdr>
                        <w:between w:val="none" w:color="auto" w:sz="0" w:space="0"/>
                      </w:pBdr>
                      <w:rPr>
                        <w:rFonts w:hint="eastAsia" w:ascii="宋体" w:hAnsi="宋体" w:eastAsia="宋体"/>
                        <w:sz w:val="28"/>
                      </w:rPr>
                    </w:pPr>
                    <w:r>
                      <w:rPr>
                        <w:rFonts w:hint="eastAsia" w:ascii="宋体" w:hAnsi="宋体" w:eastAsia="宋体"/>
                        <w:sz w:val="28"/>
                      </w:rPr>
                      <w:fldChar w:fldCharType="begin"/>
                    </w:r>
                    <w:r>
                      <w:rPr>
                        <w:rStyle w:val="18"/>
                        <w:rFonts w:hint="eastAsia" w:ascii="宋体" w:hAnsi="宋体" w:eastAsia="宋体"/>
                        <w:sz w:val="28"/>
                      </w:rPr>
                      <w:instrText xml:space="preserve"> PAGE  </w:instrText>
                    </w:r>
                    <w:r>
                      <w:rPr>
                        <w:rFonts w:hint="eastAsia" w:ascii="宋体" w:hAnsi="宋体" w:eastAsia="宋体"/>
                        <w:sz w:val="28"/>
                      </w:rPr>
                      <w:fldChar w:fldCharType="separate"/>
                    </w:r>
                    <w:r>
                      <w:rPr>
                        <w:rStyle w:val="18"/>
                        <w:rFonts w:ascii="宋体" w:hAnsi="宋体" w:eastAsia="宋体"/>
                        <w:sz w:val="28"/>
                      </w:rPr>
                      <w:t>130</w:t>
                    </w:r>
                    <w:r>
                      <w:rPr>
                        <w:rFonts w:hint="eastAsia" w:ascii="宋体" w:hAnsi="宋体" w:eastAsia="宋体"/>
                        <w:sz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9D667D"/>
    <w:multiLevelType w:val="singleLevel"/>
    <w:tmpl w:val="219D667D"/>
    <w:lvl w:ilvl="0" w:tentative="0">
      <w:start w:val="2"/>
      <w:numFmt w:val="chineseCounting"/>
      <w:suff w:val="nothing"/>
      <w:lvlText w:val="（%1）"/>
      <w:lvlJc w:val="left"/>
      <w:rPr>
        <w:rFonts w:hint="eastAsia"/>
      </w:rPr>
    </w:lvl>
  </w:abstractNum>
  <w:abstractNum w:abstractNumId="1">
    <w:nsid w:val="52F41048"/>
    <w:multiLevelType w:val="singleLevel"/>
    <w:tmpl w:val="52F41048"/>
    <w:lvl w:ilvl="0" w:tentative="0">
      <w:start w:val="2"/>
      <w:numFmt w:val="chineseCounting"/>
      <w:suff w:val="space"/>
      <w:lvlText w:val="第%1部分"/>
      <w:lvlJc w:val="left"/>
      <w:rPr>
        <w:rFonts w:hint="eastAsia"/>
      </w:rPr>
    </w:lvl>
  </w:abstractNum>
  <w:abstractNum w:abstractNumId="2">
    <w:nsid w:val="5DD19C5A"/>
    <w:multiLevelType w:val="singleLevel"/>
    <w:tmpl w:val="5DD19C5A"/>
    <w:lvl w:ilvl="0" w:tentative="0">
      <w:start w:val="1"/>
      <w:numFmt w:val="chineseCounting"/>
      <w:suff w:val="nothing"/>
      <w:lvlText w:val="%1、"/>
      <w:lvlJc w:val="left"/>
      <w:rPr>
        <w:rFonts w:hint="eastAsia"/>
      </w:rPr>
    </w:lvl>
  </w:abstractNum>
  <w:abstractNum w:abstractNumId="3">
    <w:nsid w:val="5E13E81F"/>
    <w:multiLevelType w:val="singleLevel"/>
    <w:tmpl w:val="5E13E81F"/>
    <w:lvl w:ilvl="0" w:tentative="0">
      <w:start w:val="1"/>
      <w:numFmt w:val="decimal"/>
      <w:suff w:val="nothing"/>
      <w:lvlText w:val="%1."/>
      <w:lvlJc w:val="left"/>
    </w:lvl>
  </w:abstractNum>
  <w:abstractNum w:abstractNumId="4">
    <w:nsid w:val="5E4258FB"/>
    <w:multiLevelType w:val="singleLevel"/>
    <w:tmpl w:val="5E4258FB"/>
    <w:lvl w:ilvl="0" w:tentative="0">
      <w:start w:val="4"/>
      <w:numFmt w:val="decimal"/>
      <w:suff w:val="nothing"/>
      <w:lvlText w:val="%1."/>
      <w:lvlJc w:val="left"/>
    </w:lvl>
  </w:abstractNum>
  <w:abstractNum w:abstractNumId="5">
    <w:nsid w:val="5E425E55"/>
    <w:multiLevelType w:val="singleLevel"/>
    <w:tmpl w:val="5E425E55"/>
    <w:lvl w:ilvl="0" w:tentative="0">
      <w:start w:val="2"/>
      <w:numFmt w:val="decimal"/>
      <w:suff w:val="nothing"/>
      <w:lvlText w:val="%1."/>
      <w:lvlJc w:val="left"/>
    </w:lvl>
  </w:abstractNum>
  <w:abstractNum w:abstractNumId="6">
    <w:nsid w:val="5E436CC9"/>
    <w:multiLevelType w:val="singleLevel"/>
    <w:tmpl w:val="5E436CC9"/>
    <w:lvl w:ilvl="0" w:tentative="0">
      <w:start w:val="2"/>
      <w:numFmt w:val="chineseCounting"/>
      <w:suff w:val="nothing"/>
      <w:lvlText w:val="%1、"/>
      <w:lvlJc w:val="left"/>
    </w:lvl>
  </w:abstractNum>
  <w:abstractNum w:abstractNumId="7">
    <w:nsid w:val="5E53A2AC"/>
    <w:multiLevelType w:val="singleLevel"/>
    <w:tmpl w:val="5E53A2AC"/>
    <w:lvl w:ilvl="0" w:tentative="0">
      <w:start w:val="4"/>
      <w:numFmt w:val="chineseCounting"/>
      <w:suff w:val="nothing"/>
      <w:lvlText w:val="%1、"/>
      <w:lvlJc w:val="left"/>
    </w:lvl>
  </w:abstractNum>
  <w:abstractNum w:abstractNumId="8">
    <w:nsid w:val="5E53B2FC"/>
    <w:multiLevelType w:val="singleLevel"/>
    <w:tmpl w:val="5E53B2FC"/>
    <w:lvl w:ilvl="0" w:tentative="0">
      <w:start w:val="2"/>
      <w:numFmt w:val="decimal"/>
      <w:suff w:val="nothing"/>
      <w:lvlText w:val="%1."/>
      <w:lvlJc w:val="left"/>
    </w:lvl>
  </w:abstractNum>
  <w:num w:numId="1">
    <w:abstractNumId w:val="1"/>
  </w:num>
  <w:num w:numId="2">
    <w:abstractNumId w:val="4"/>
  </w:num>
  <w:num w:numId="3">
    <w:abstractNumId w:val="0"/>
  </w:num>
  <w:num w:numId="4">
    <w:abstractNumId w:val="7"/>
  </w:num>
  <w:num w:numId="5">
    <w:abstractNumId w:val="2"/>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12D22"/>
    <w:rsid w:val="48712D22"/>
    <w:rsid w:val="596F0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2"/>
    <w:basedOn w:val="1"/>
    <w:next w:val="1"/>
    <w:unhideWhenUsed/>
    <w:qFormat/>
    <w:uiPriority w:val="9"/>
    <w:pPr>
      <w:widowControl w:val="0"/>
      <w:spacing w:before="100" w:beforeLines="100" w:line="560" w:lineRule="exact"/>
      <w:ind w:left="-160" w:leftChars="-50" w:firstLine="964" w:firstLineChars="200"/>
      <w:outlineLvl w:val="1"/>
    </w:pPr>
    <w:rPr>
      <w:rFonts w:ascii="黑体" w:hAnsi="黑体" w:eastAsia="黑体" w:cs="Times New Roman"/>
      <w:bCs/>
      <w:color w:val="000000"/>
      <w:kern w:val="0"/>
      <w:sz w:val="30"/>
      <w:szCs w:val="30"/>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adjustRightInd w:val="0"/>
      <w:spacing w:before="200" w:after="120" w:line="300" w:lineRule="auto"/>
      <w:ind w:left="420" w:leftChars="200" w:firstLine="420" w:firstLineChars="200"/>
      <w:jc w:val="left"/>
      <w:textAlignment w:val="baseline"/>
    </w:pPr>
    <w:rPr>
      <w:rFonts w:ascii="Arial" w:hAnsi="Arial" w:eastAsia="宋体" w:cs="Times New Roman"/>
      <w:color w:val="000000"/>
      <w:sz w:val="22"/>
      <w:szCs w:val="22"/>
      <w:lang w:val="en-GB" w:eastAsia="en-US"/>
    </w:rPr>
  </w:style>
  <w:style w:type="paragraph" w:styleId="3">
    <w:name w:val="Body Text Indent"/>
    <w:basedOn w:val="1"/>
    <w:qFormat/>
    <w:uiPriority w:val="0"/>
    <w:pPr>
      <w:ind w:left="-3" w:firstLine="210"/>
    </w:pPr>
    <w:rPr>
      <w:rFonts w:ascii="楷体_GB2312" w:hAnsi="华文中宋" w:eastAsia="楷体_GB2312"/>
      <w:szCs w:val="20"/>
    </w:rPr>
  </w:style>
  <w:style w:type="paragraph" w:styleId="6">
    <w:name w:val="Block Text"/>
    <w:basedOn w:val="1"/>
    <w:qFormat/>
    <w:uiPriority w:val="0"/>
    <w:pPr>
      <w:spacing w:line="580" w:lineRule="atLeast"/>
      <w:ind w:left="2160" w:right="26" w:hanging="900"/>
    </w:pPr>
    <w:rPr>
      <w:rFonts w:ascii="宋体"/>
      <w:sz w:val="36"/>
    </w:rPr>
  </w:style>
  <w:style w:type="paragraph" w:styleId="7">
    <w:name w:val="toc 3"/>
    <w:basedOn w:val="1"/>
    <w:next w:val="1"/>
    <w:unhideWhenUsed/>
    <w:qFormat/>
    <w:uiPriority w:val="39"/>
    <w:pPr>
      <w:ind w:left="840" w:leftChars="400"/>
    </w:pPr>
    <w:rPr>
      <w:rFonts w:ascii="Calibri" w:hAnsi="Calibri" w:eastAsia="宋体" w:cs="Times New Roman"/>
      <w:sz w:val="21"/>
    </w:rPr>
  </w:style>
  <w:style w:type="paragraph" w:styleId="8">
    <w:name w:val="Plain Text"/>
    <w:basedOn w:val="1"/>
    <w:unhideWhenUsed/>
    <w:qFormat/>
    <w:uiPriority w:val="99"/>
    <w:pPr>
      <w:widowControl/>
      <w:jc w:val="left"/>
    </w:pPr>
    <w:rPr>
      <w:rFonts w:ascii="宋体" w:hAnsi="宋体" w:eastAsia="宋体" w:cs="宋体"/>
      <w:kern w:val="0"/>
      <w:sz w:val="24"/>
    </w:rPr>
  </w:style>
  <w:style w:type="paragraph" w:styleId="9">
    <w:name w:val="footer"/>
    <w:basedOn w:val="1"/>
    <w:qFormat/>
    <w:uiPriority w:val="0"/>
    <w:pPr>
      <w:tabs>
        <w:tab w:val="center" w:pos="4153"/>
        <w:tab w:val="right" w:pos="8306"/>
      </w:tabs>
      <w:snapToGrid w:val="0"/>
      <w:jc w:val="left"/>
    </w:pPr>
    <w:rPr>
      <w:rFonts w:eastAsia="仿宋_GB2312"/>
      <w:kern w:val="2"/>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eastAsia="仿宋_GB2312"/>
      <w:kern w:val="2"/>
      <w:sz w:val="18"/>
      <w:szCs w:val="18"/>
    </w:rPr>
  </w:style>
  <w:style w:type="paragraph" w:styleId="11">
    <w:name w:val="toc 1"/>
    <w:basedOn w:val="1"/>
    <w:next w:val="1"/>
    <w:unhideWhenUsed/>
    <w:qFormat/>
    <w:uiPriority w:val="39"/>
    <w:rPr>
      <w:rFonts w:ascii="Calibri" w:hAnsi="Calibri" w:eastAsia="宋体" w:cs="Times New Roman"/>
      <w:sz w:val="21"/>
    </w:rPr>
  </w:style>
  <w:style w:type="paragraph" w:styleId="12">
    <w:name w:val="Subtitle"/>
    <w:basedOn w:val="1"/>
    <w:next w:val="1"/>
    <w:qFormat/>
    <w:uiPriority w:val="11"/>
    <w:pPr>
      <w:spacing w:before="240" w:beforeLines="0" w:after="60" w:afterLines="0" w:line="312" w:lineRule="auto"/>
      <w:jc w:val="center"/>
      <w:outlineLvl w:val="1"/>
    </w:pPr>
    <w:rPr>
      <w:rFonts w:ascii="Cambria" w:hAnsi="Cambria" w:eastAsia="宋体" w:cs="Times New Roman"/>
      <w:b/>
      <w:bCs/>
      <w:kern w:val="28"/>
      <w:sz w:val="32"/>
      <w:szCs w:val="32"/>
    </w:rPr>
  </w:style>
  <w:style w:type="paragraph" w:styleId="13">
    <w:name w:val="toc 2"/>
    <w:basedOn w:val="1"/>
    <w:next w:val="1"/>
    <w:unhideWhenUsed/>
    <w:qFormat/>
    <w:uiPriority w:val="39"/>
    <w:pPr>
      <w:ind w:left="420" w:leftChars="200"/>
    </w:pPr>
    <w:rPr>
      <w:rFonts w:ascii="Calibri" w:hAnsi="Calibri" w:eastAsia="宋体" w:cs="Times New Roman"/>
      <w:sz w:val="21"/>
    </w:rPr>
  </w:style>
  <w:style w:type="paragraph" w:styleId="14">
    <w:name w:val="Normal (Web)"/>
    <w:basedOn w:val="1"/>
    <w:unhideWhenUsed/>
    <w:qFormat/>
    <w:uiPriority w:val="99"/>
    <w:pPr>
      <w:widowControl/>
      <w:jc w:val="left"/>
    </w:pPr>
    <w:rPr>
      <w:rFonts w:ascii="宋体" w:hAnsi="宋体" w:eastAsia="宋体" w:cs="宋体"/>
      <w:kern w:val="0"/>
      <w:sz w:val="24"/>
      <w:szCs w:val="24"/>
    </w:rPr>
  </w:style>
  <w:style w:type="character" w:styleId="17">
    <w:name w:val="Strong"/>
    <w:qFormat/>
    <w:uiPriority w:val="22"/>
    <w:rPr>
      <w:rFonts w:ascii="Times New Roman" w:hAnsi="Times New Roman" w:eastAsia="宋体" w:cs="Times New Roman"/>
      <w:b/>
    </w:rPr>
  </w:style>
  <w:style w:type="character" w:styleId="18">
    <w:name w:val="page number"/>
    <w:basedOn w:val="16"/>
    <w:qFormat/>
    <w:uiPriority w:val="0"/>
  </w:style>
  <w:style w:type="character" w:styleId="19">
    <w:name w:val="Emphasis"/>
    <w:qFormat/>
    <w:uiPriority w:val="20"/>
    <w:rPr>
      <w:rFonts w:ascii="Times New Roman" w:hAnsi="Times New Roman" w:eastAsia="宋体" w:cs="Times New Roman"/>
      <w:i/>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p0"/>
    <w:basedOn w:val="1"/>
    <w:qFormat/>
    <w:uiPriority w:val="0"/>
    <w:pPr>
      <w:widowControl/>
    </w:pPr>
    <w:rPr>
      <w:rFonts w:ascii="Times New Roman" w:hAnsi="Times New Roman" w:eastAsia="宋体" w:cs="Times New Roman"/>
      <w:kern w:val="0"/>
      <w:sz w:val="21"/>
      <w:szCs w:val="21"/>
    </w:rPr>
  </w:style>
  <w:style w:type="paragraph" w:customStyle="1" w:styleId="22">
    <w:name w:val="列出段落2"/>
    <w:basedOn w:val="1"/>
    <w:qFormat/>
    <w:uiPriority w:val="0"/>
    <w:pPr>
      <w:ind w:firstLine="420" w:firstLineChars="200"/>
    </w:pPr>
    <w:rPr>
      <w:rFonts w:ascii="Calibri" w:hAnsi="Calibri" w:eastAsia="宋体" w:cs="Times New Roman"/>
      <w:sz w:val="21"/>
    </w:rPr>
  </w:style>
  <w:style w:type="paragraph" w:customStyle="1" w:styleId="23">
    <w:name w:val="专栏"/>
    <w:basedOn w:val="1"/>
    <w:qFormat/>
    <w:uiPriority w:val="0"/>
    <w:pPr>
      <w:ind w:firstLine="0" w:firstLineChars="0"/>
      <w:jc w:val="center"/>
    </w:pPr>
    <w:rPr>
      <w:rFonts w:ascii="Calibri" w:hAnsi="Calibri" w:eastAsia="宋体" w:cs="Times New Roman"/>
      <w:b/>
      <w:sz w:val="28"/>
      <w:szCs w:val="28"/>
    </w:rPr>
  </w:style>
  <w:style w:type="character" w:customStyle="1" w:styleId="24">
    <w:name w:val="font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2020-04-03T17:15:00Z</dcterms:created>
  <dc:creator>lenovo</dc:creator>
  <cp:lastModifiedBy>ycak</cp:lastModifiedBy>
  <dcterms:modified xsi:type="dcterms:W3CDTF">2023-10-10T17:04:01Z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