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28"/>
          <w:szCs w:val="28"/>
        </w:rPr>
      </w:pPr>
      <w:bookmarkStart w:id="0" w:name="_GoBack"/>
      <w:r>
        <w:rPr>
          <w:rFonts w:eastAsia="黑体"/>
          <w:sz w:val="28"/>
          <w:szCs w:val="28"/>
        </w:rPr>
        <w:t>附件2</w:t>
      </w:r>
    </w:p>
    <w:p>
      <w:pPr>
        <w:keepNext/>
        <w:keepLines/>
        <w:spacing w:before="260" w:after="260" w:line="600" w:lineRule="exact"/>
        <w:jc w:val="center"/>
        <w:outlineLvl w:val="1"/>
        <w:rPr>
          <w:rFonts w:eastAsia="方正小标宋简体"/>
          <w:sz w:val="44"/>
          <w:szCs w:val="44"/>
        </w:rPr>
      </w:pPr>
      <w:r>
        <w:rPr>
          <w:rFonts w:eastAsia="方正小标宋简体"/>
          <w:sz w:val="44"/>
          <w:szCs w:val="44"/>
        </w:rPr>
        <w:t>盐池县调整的行政职权事项目录</w:t>
      </w:r>
      <w:bookmarkEnd w:id="0"/>
    </w:p>
    <w:p>
      <w:pPr>
        <w:spacing w:line="600" w:lineRule="exact"/>
        <w:jc w:val="center"/>
        <w:rPr>
          <w:rFonts w:eastAsia="仿宋_GB2312"/>
          <w:b/>
          <w:bCs/>
          <w:sz w:val="32"/>
          <w:szCs w:val="32"/>
        </w:rPr>
      </w:pPr>
      <w:r>
        <w:rPr>
          <w:rFonts w:eastAsia="仿宋_GB2312"/>
          <w:b/>
          <w:bCs/>
          <w:sz w:val="32"/>
          <w:szCs w:val="32"/>
        </w:rPr>
        <w:t>（共23项）</w:t>
      </w:r>
    </w:p>
    <w:tbl>
      <w:tblPr>
        <w:tblStyle w:val="5"/>
        <w:tblW w:w="14055"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682"/>
        <w:gridCol w:w="2048"/>
        <w:gridCol w:w="1290"/>
        <w:gridCol w:w="810"/>
        <w:gridCol w:w="6570"/>
        <w:gridCol w:w="157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blHeader/>
          <w:jc w:val="center"/>
        </w:trPr>
        <w:tc>
          <w:tcPr>
            <w:tcW w:w="682" w:type="dxa"/>
            <w:vAlign w:val="center"/>
          </w:tcPr>
          <w:p>
            <w:pPr>
              <w:adjustRightInd w:val="0"/>
              <w:snapToGrid w:val="0"/>
              <w:spacing w:line="360" w:lineRule="exact"/>
              <w:jc w:val="center"/>
              <w:rPr>
                <w:rFonts w:eastAsia="仿宋_GB2312"/>
                <w:b/>
                <w:bCs/>
                <w:sz w:val="24"/>
              </w:rPr>
            </w:pPr>
            <w:r>
              <w:rPr>
                <w:rFonts w:eastAsia="仿宋_GB2312"/>
                <w:b/>
                <w:bCs/>
                <w:sz w:val="24"/>
              </w:rPr>
              <w:t>序号</w:t>
            </w:r>
          </w:p>
        </w:tc>
        <w:tc>
          <w:tcPr>
            <w:tcW w:w="2048" w:type="dxa"/>
            <w:vAlign w:val="center"/>
          </w:tcPr>
          <w:p>
            <w:pPr>
              <w:adjustRightInd w:val="0"/>
              <w:snapToGrid w:val="0"/>
              <w:spacing w:line="360" w:lineRule="exact"/>
              <w:jc w:val="center"/>
              <w:rPr>
                <w:rFonts w:eastAsia="仿宋_GB2312"/>
                <w:b/>
                <w:bCs/>
                <w:sz w:val="24"/>
              </w:rPr>
            </w:pPr>
            <w:r>
              <w:rPr>
                <w:rFonts w:eastAsia="仿宋_GB2312"/>
                <w:b/>
                <w:bCs/>
                <w:sz w:val="24"/>
              </w:rPr>
              <w:t>项目名称</w:t>
            </w:r>
          </w:p>
        </w:tc>
        <w:tc>
          <w:tcPr>
            <w:tcW w:w="1290" w:type="dxa"/>
            <w:vAlign w:val="center"/>
          </w:tcPr>
          <w:p>
            <w:pPr>
              <w:adjustRightInd w:val="0"/>
              <w:snapToGrid w:val="0"/>
              <w:spacing w:line="360" w:lineRule="exact"/>
              <w:jc w:val="center"/>
              <w:rPr>
                <w:rFonts w:eastAsia="仿宋_GB2312"/>
                <w:b/>
                <w:bCs/>
                <w:sz w:val="24"/>
              </w:rPr>
            </w:pPr>
            <w:r>
              <w:rPr>
                <w:rFonts w:eastAsia="仿宋_GB2312"/>
                <w:b/>
                <w:bCs/>
                <w:sz w:val="24"/>
              </w:rPr>
              <w:t>行使主体</w:t>
            </w:r>
          </w:p>
        </w:tc>
        <w:tc>
          <w:tcPr>
            <w:tcW w:w="810" w:type="dxa"/>
            <w:vAlign w:val="center"/>
          </w:tcPr>
          <w:p>
            <w:pPr>
              <w:adjustRightInd w:val="0"/>
              <w:snapToGrid w:val="0"/>
              <w:spacing w:line="360" w:lineRule="exact"/>
              <w:jc w:val="center"/>
              <w:rPr>
                <w:rFonts w:eastAsia="仿宋_GB2312"/>
                <w:b/>
                <w:bCs/>
                <w:sz w:val="24"/>
              </w:rPr>
            </w:pPr>
            <w:r>
              <w:rPr>
                <w:rFonts w:eastAsia="仿宋_GB2312"/>
                <w:b/>
                <w:bCs/>
                <w:sz w:val="24"/>
              </w:rPr>
              <w:t>职权</w:t>
            </w:r>
          </w:p>
          <w:p>
            <w:pPr>
              <w:adjustRightInd w:val="0"/>
              <w:snapToGrid w:val="0"/>
              <w:spacing w:line="360" w:lineRule="exact"/>
              <w:jc w:val="center"/>
              <w:rPr>
                <w:rFonts w:eastAsia="仿宋_GB2312"/>
                <w:b/>
                <w:bCs/>
                <w:sz w:val="24"/>
              </w:rPr>
            </w:pPr>
            <w:r>
              <w:rPr>
                <w:rFonts w:eastAsia="仿宋_GB2312"/>
                <w:b/>
                <w:bCs/>
                <w:sz w:val="24"/>
              </w:rPr>
              <w:t>类型</w:t>
            </w:r>
          </w:p>
        </w:tc>
        <w:tc>
          <w:tcPr>
            <w:tcW w:w="6570" w:type="dxa"/>
            <w:vAlign w:val="center"/>
          </w:tcPr>
          <w:p>
            <w:pPr>
              <w:spacing w:line="360" w:lineRule="exact"/>
              <w:jc w:val="center"/>
              <w:rPr>
                <w:rFonts w:eastAsia="仿宋_GB2312"/>
                <w:b/>
                <w:bCs/>
                <w:sz w:val="24"/>
              </w:rPr>
            </w:pPr>
            <w:r>
              <w:rPr>
                <w:rFonts w:eastAsia="仿宋_GB2312"/>
                <w:b/>
                <w:bCs/>
                <w:sz w:val="24"/>
              </w:rPr>
              <w:t>职权依据</w:t>
            </w:r>
          </w:p>
        </w:tc>
        <w:tc>
          <w:tcPr>
            <w:tcW w:w="1575" w:type="dxa"/>
            <w:vAlign w:val="center"/>
          </w:tcPr>
          <w:p>
            <w:pPr>
              <w:spacing w:line="360" w:lineRule="exact"/>
              <w:jc w:val="center"/>
              <w:rPr>
                <w:rFonts w:eastAsia="仿宋_GB2312"/>
                <w:b/>
                <w:bCs/>
                <w:sz w:val="24"/>
              </w:rPr>
            </w:pPr>
            <w:r>
              <w:rPr>
                <w:rFonts w:eastAsia="仿宋_GB2312"/>
                <w:b/>
                <w:bCs/>
                <w:sz w:val="24"/>
              </w:rPr>
              <w:t>调整决定</w:t>
            </w:r>
          </w:p>
        </w:tc>
        <w:tc>
          <w:tcPr>
            <w:tcW w:w="1080" w:type="dxa"/>
            <w:vAlign w:val="center"/>
          </w:tcPr>
          <w:p>
            <w:pPr>
              <w:spacing w:line="360" w:lineRule="exact"/>
              <w:jc w:val="center"/>
              <w:rPr>
                <w:rFonts w:eastAsia="仿宋_GB2312"/>
                <w:b/>
                <w:bCs/>
                <w:sz w:val="24"/>
              </w:rPr>
            </w:pPr>
            <w:r>
              <w:rPr>
                <w:rFonts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59" w:hRule="atLeast"/>
          <w:jc w:val="center"/>
        </w:trPr>
        <w:tc>
          <w:tcPr>
            <w:tcW w:w="682" w:type="dxa"/>
            <w:vAlign w:val="center"/>
          </w:tcPr>
          <w:p>
            <w:pPr>
              <w:spacing w:line="360" w:lineRule="exact"/>
              <w:jc w:val="center"/>
              <w:rPr>
                <w:rFonts w:eastAsia="仿宋_GB2312"/>
                <w:sz w:val="24"/>
              </w:rPr>
            </w:pPr>
            <w:r>
              <w:rPr>
                <w:rFonts w:eastAsia="仿宋_GB2312"/>
                <w:sz w:val="24"/>
              </w:rPr>
              <w:t>1</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对新闻出版广电总局负责的广播电台、电视台设立、终止审批的初审</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县文化旅游广电局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行政许可</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【行政法规】《广播电视管理条例》（2017年国务院令第676号修订）</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调整为政府内部审批，不列入权力清单</w:t>
            </w:r>
          </w:p>
        </w:tc>
        <w:tc>
          <w:tcPr>
            <w:tcW w:w="1080" w:type="dxa"/>
            <w:vAlign w:val="center"/>
          </w:tcPr>
          <w:p>
            <w:pPr>
              <w:widowControl/>
              <w:spacing w:line="240" w:lineRule="exact"/>
              <w:jc w:val="center"/>
              <w:rPr>
                <w:rFonts w:eastAsia="仿宋_GB2312"/>
                <w:color w:val="0D0D0D"/>
                <w:sz w:val="24"/>
              </w:rPr>
            </w:pPr>
            <w:r>
              <w:rPr>
                <w:rFonts w:eastAsia="仿宋_GB2312"/>
                <w:color w:val="0D0D0D"/>
                <w:sz w:val="24"/>
              </w:rPr>
              <w:t>宁政办规发〔2018〕18号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49" w:hRule="atLeast"/>
          <w:jc w:val="center"/>
        </w:trPr>
        <w:tc>
          <w:tcPr>
            <w:tcW w:w="682" w:type="dxa"/>
            <w:vAlign w:val="center"/>
          </w:tcPr>
          <w:p>
            <w:pPr>
              <w:widowControl/>
              <w:adjustRightInd w:val="0"/>
              <w:snapToGrid w:val="0"/>
              <w:spacing w:before="188" w:after="188" w:line="270" w:lineRule="exact"/>
              <w:jc w:val="center"/>
              <w:rPr>
                <w:rFonts w:eastAsia="仿宋_GB2312"/>
                <w:kern w:val="0"/>
                <w:sz w:val="24"/>
              </w:rPr>
            </w:pPr>
            <w:r>
              <w:rPr>
                <w:rFonts w:eastAsia="仿宋_GB2312"/>
                <w:kern w:val="0"/>
                <w:sz w:val="24"/>
              </w:rPr>
              <w:t>2</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民办幼儿园保教费、住宿费收费标准备案</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县发展和改革局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【规范性文件】国家发改委、教育部、财政部《关于印发&lt;幼儿园收费管理暂行办法&gt;的通知》（发改价格【2011】3207号）</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767" w:hRule="atLeast"/>
          <w:jc w:val="center"/>
        </w:trPr>
        <w:tc>
          <w:tcPr>
            <w:tcW w:w="682" w:type="dxa"/>
            <w:vAlign w:val="center"/>
          </w:tcPr>
          <w:p>
            <w:pPr>
              <w:widowControl/>
              <w:adjustRightInd w:val="0"/>
              <w:snapToGrid w:val="0"/>
              <w:spacing w:before="188" w:after="188" w:line="270" w:lineRule="exact"/>
              <w:jc w:val="center"/>
              <w:rPr>
                <w:rFonts w:eastAsia="仿宋_GB2312"/>
                <w:kern w:val="0"/>
                <w:sz w:val="24"/>
              </w:rPr>
            </w:pPr>
            <w:r>
              <w:rPr>
                <w:rFonts w:eastAsia="仿宋_GB2312"/>
                <w:kern w:val="0"/>
                <w:sz w:val="24"/>
              </w:rPr>
              <w:t>3</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固定资产投资项目节能评估与审查</w:t>
            </w:r>
          </w:p>
          <w:p>
            <w:pPr>
              <w:widowControl/>
              <w:spacing w:line="240" w:lineRule="exact"/>
              <w:jc w:val="left"/>
              <w:rPr>
                <w:rFonts w:eastAsia="仿宋_GB2312"/>
                <w:color w:val="0D0D0D"/>
                <w:sz w:val="24"/>
              </w:rPr>
            </w:pP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县发展和改革局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【法律】《中华人民共和国节约能源法》（2007年）</w:t>
            </w:r>
          </w:p>
          <w:p>
            <w:pPr>
              <w:widowControl/>
              <w:spacing w:line="240" w:lineRule="exact"/>
              <w:ind w:firstLine="480" w:firstLineChars="200"/>
              <w:jc w:val="left"/>
              <w:rPr>
                <w:rFonts w:eastAsia="仿宋_GB2312"/>
                <w:color w:val="0D0D0D"/>
                <w:sz w:val="24"/>
              </w:rPr>
            </w:pPr>
            <w:r>
              <w:rPr>
                <w:rFonts w:eastAsia="仿宋_GB2312"/>
                <w:color w:val="0D0D0D"/>
                <w:sz w:val="24"/>
              </w:rPr>
              <w:t>【国务院决定】《国务院关于加强节能工作的决定》（国发〔2006〕28号）</w:t>
            </w:r>
          </w:p>
          <w:p>
            <w:pPr>
              <w:widowControl/>
              <w:spacing w:line="240" w:lineRule="exact"/>
              <w:ind w:firstLine="480" w:firstLineChars="200"/>
              <w:jc w:val="left"/>
              <w:rPr>
                <w:rFonts w:eastAsia="仿宋_GB2312"/>
                <w:color w:val="0D0D0D"/>
                <w:sz w:val="24"/>
              </w:rPr>
            </w:pPr>
            <w:r>
              <w:rPr>
                <w:rFonts w:eastAsia="仿宋_GB2312"/>
                <w:color w:val="0D0D0D"/>
                <w:sz w:val="24"/>
              </w:rPr>
              <w:t>【地方性法规】《宁夏回族自治区实施〈中华人民共和国节约能源法〉办法》(宁夏回族自治区人民代表大会常务委员会公告第64号)</w:t>
            </w:r>
          </w:p>
          <w:p>
            <w:pPr>
              <w:widowControl/>
              <w:spacing w:line="240" w:lineRule="exact"/>
              <w:ind w:firstLine="480" w:firstLineChars="200"/>
              <w:jc w:val="left"/>
              <w:rPr>
                <w:rFonts w:eastAsia="仿宋_GB2312"/>
                <w:color w:val="0D0D0D"/>
                <w:sz w:val="24"/>
              </w:rPr>
            </w:pPr>
            <w:r>
              <w:rPr>
                <w:rFonts w:eastAsia="仿宋_GB2312"/>
                <w:color w:val="0D0D0D"/>
                <w:sz w:val="24"/>
              </w:rPr>
              <w:t>【部门规章】《固定资产投资项目节能评估和审查暂行办法》（2010年国家发改委令第6号）</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682" w:type="dxa"/>
            <w:vAlign w:val="center"/>
          </w:tcPr>
          <w:p>
            <w:pPr>
              <w:widowControl/>
              <w:adjustRightInd w:val="0"/>
              <w:snapToGrid w:val="0"/>
              <w:spacing w:before="188" w:after="188" w:line="270" w:lineRule="exact"/>
              <w:ind w:left="170"/>
              <w:rPr>
                <w:rFonts w:eastAsia="仿宋_GB2312"/>
                <w:kern w:val="0"/>
                <w:sz w:val="24"/>
              </w:rPr>
            </w:pPr>
            <w:r>
              <w:rPr>
                <w:rFonts w:eastAsia="仿宋_GB2312"/>
                <w:kern w:val="0"/>
                <w:sz w:val="24"/>
              </w:rPr>
              <w:t>4</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固定资产投资项目节能评估与审查</w:t>
            </w:r>
          </w:p>
          <w:p>
            <w:pPr>
              <w:widowControl/>
              <w:spacing w:line="240" w:lineRule="exact"/>
              <w:jc w:val="left"/>
              <w:rPr>
                <w:rFonts w:eastAsia="仿宋_GB2312"/>
                <w:color w:val="0D0D0D"/>
                <w:sz w:val="24"/>
              </w:rPr>
            </w:pP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县工业信息化和商务局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【法律】《中华人民共和国节约能源法》（2007年）</w:t>
            </w:r>
          </w:p>
          <w:p>
            <w:pPr>
              <w:widowControl/>
              <w:spacing w:line="240" w:lineRule="exact"/>
              <w:ind w:firstLine="480" w:firstLineChars="200"/>
              <w:jc w:val="left"/>
              <w:rPr>
                <w:rFonts w:eastAsia="仿宋_GB2312"/>
                <w:color w:val="0D0D0D"/>
                <w:sz w:val="24"/>
              </w:rPr>
            </w:pPr>
            <w:r>
              <w:rPr>
                <w:rFonts w:eastAsia="仿宋_GB2312"/>
                <w:color w:val="0D0D0D"/>
                <w:sz w:val="24"/>
              </w:rPr>
              <w:t>【国务院决定】《国务院关于加强节能工作的决定》（国发〔2006〕28号）</w:t>
            </w:r>
          </w:p>
          <w:p>
            <w:pPr>
              <w:widowControl/>
              <w:spacing w:line="240" w:lineRule="exact"/>
              <w:ind w:firstLine="480" w:firstLineChars="200"/>
              <w:jc w:val="left"/>
              <w:rPr>
                <w:rFonts w:eastAsia="仿宋_GB2312"/>
                <w:color w:val="0D0D0D"/>
                <w:sz w:val="24"/>
              </w:rPr>
            </w:pPr>
            <w:r>
              <w:rPr>
                <w:rFonts w:eastAsia="仿宋_GB2312"/>
                <w:color w:val="0D0D0D"/>
                <w:sz w:val="24"/>
              </w:rPr>
              <w:t>【地方性法规】《宁夏回族自治区实施〈中华人民共和国节约能源法〉办法》(宁夏回族自治区人民代表大会常务委员会公告第64号)</w:t>
            </w:r>
          </w:p>
          <w:p>
            <w:pPr>
              <w:widowControl/>
              <w:spacing w:line="240" w:lineRule="exact"/>
              <w:ind w:firstLine="480" w:firstLineChars="200"/>
              <w:jc w:val="left"/>
              <w:rPr>
                <w:rFonts w:eastAsia="仿宋_GB2312"/>
                <w:color w:val="0D0D0D"/>
                <w:sz w:val="24"/>
              </w:rPr>
            </w:pPr>
            <w:r>
              <w:rPr>
                <w:rFonts w:eastAsia="仿宋_GB2312"/>
                <w:color w:val="0D0D0D"/>
                <w:sz w:val="24"/>
              </w:rPr>
              <w:t>【部门规章】《固定资产投资项目节能评估和审查暂行办法》（2010年国家发改委令第6号）</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04" w:hRule="atLeast"/>
          <w:jc w:val="center"/>
        </w:trPr>
        <w:tc>
          <w:tcPr>
            <w:tcW w:w="682" w:type="dxa"/>
            <w:vAlign w:val="center"/>
          </w:tcPr>
          <w:p>
            <w:pPr>
              <w:widowControl/>
              <w:adjustRightInd w:val="0"/>
              <w:snapToGrid w:val="0"/>
              <w:spacing w:before="188" w:after="188" w:line="270" w:lineRule="exact"/>
              <w:ind w:left="170"/>
              <w:rPr>
                <w:rFonts w:eastAsia="仿宋_GB2312"/>
                <w:kern w:val="0"/>
                <w:sz w:val="24"/>
              </w:rPr>
            </w:pPr>
            <w:r>
              <w:rPr>
                <w:rFonts w:eastAsia="仿宋_GB2312"/>
                <w:kern w:val="0"/>
                <w:sz w:val="24"/>
              </w:rPr>
              <w:t>5</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用能单位能源管理岗位、能源管理负责人、能源管理机构备案</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县工业信息化和商务局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【法律】《中华人民共和国节约能源法》（2016年修正）</w:t>
            </w:r>
          </w:p>
          <w:p>
            <w:pPr>
              <w:widowControl/>
              <w:spacing w:line="240" w:lineRule="exact"/>
              <w:ind w:firstLine="480" w:firstLineChars="200"/>
              <w:jc w:val="left"/>
              <w:rPr>
                <w:rFonts w:eastAsia="仿宋_GB2312"/>
                <w:color w:val="0D0D0D"/>
                <w:sz w:val="24"/>
              </w:rPr>
            </w:pPr>
            <w:r>
              <w:rPr>
                <w:rFonts w:eastAsia="仿宋_GB2312"/>
                <w:color w:val="0D0D0D"/>
                <w:sz w:val="24"/>
              </w:rPr>
              <w:t>【地方性法规】《宁夏回族自治区实施〈中华人民共和国节约能源法〉办法》（2009年宁夏回族自治区第十届人民代表大会常务委员会公告第64号）</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69" w:hRule="atLeast"/>
          <w:jc w:val="center"/>
        </w:trPr>
        <w:tc>
          <w:tcPr>
            <w:tcW w:w="682" w:type="dxa"/>
            <w:vAlign w:val="center"/>
          </w:tcPr>
          <w:p>
            <w:pPr>
              <w:widowControl/>
              <w:adjustRightInd w:val="0"/>
              <w:snapToGrid w:val="0"/>
              <w:spacing w:before="188" w:after="188" w:line="270" w:lineRule="exact"/>
              <w:ind w:left="170"/>
              <w:rPr>
                <w:rFonts w:eastAsia="仿宋_GB2312"/>
                <w:kern w:val="0"/>
                <w:sz w:val="24"/>
              </w:rPr>
            </w:pPr>
            <w:r>
              <w:rPr>
                <w:rFonts w:eastAsia="仿宋_GB2312"/>
                <w:kern w:val="0"/>
                <w:sz w:val="24"/>
              </w:rPr>
              <w:t>6</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“盐池甘草”产地证明商标许可使用管理</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县科学技术局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【法律】《中华人民共和国商标法》（2013年修改）</w:t>
            </w:r>
          </w:p>
          <w:p>
            <w:pPr>
              <w:widowControl/>
              <w:spacing w:line="240" w:lineRule="exact"/>
              <w:ind w:firstLine="480" w:firstLineChars="200"/>
              <w:jc w:val="left"/>
              <w:rPr>
                <w:rFonts w:eastAsia="仿宋_GB2312"/>
                <w:color w:val="0D0D0D"/>
                <w:sz w:val="24"/>
              </w:rPr>
            </w:pPr>
            <w:r>
              <w:rPr>
                <w:rFonts w:eastAsia="仿宋_GB2312"/>
                <w:color w:val="0D0D0D"/>
                <w:sz w:val="24"/>
              </w:rPr>
              <w:t>【法律】《中华人民共和国商标法实施条例》（2014年修改）</w:t>
            </w:r>
          </w:p>
          <w:p>
            <w:pPr>
              <w:widowControl/>
              <w:spacing w:line="240" w:lineRule="exact"/>
              <w:ind w:firstLine="480" w:firstLineChars="200"/>
              <w:jc w:val="left"/>
              <w:rPr>
                <w:rFonts w:eastAsia="仿宋_GB2312"/>
                <w:color w:val="0D0D0D"/>
                <w:sz w:val="24"/>
              </w:rPr>
            </w:pPr>
            <w:r>
              <w:rPr>
                <w:rFonts w:eastAsia="仿宋_GB2312"/>
                <w:color w:val="0D0D0D"/>
                <w:sz w:val="24"/>
              </w:rPr>
              <w:t>【规范性文件】《“盐池甘草”产地证明商标许可使用管理办法》（盐政办发[2014]号）</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59" w:hRule="atLeast"/>
          <w:jc w:val="center"/>
        </w:trPr>
        <w:tc>
          <w:tcPr>
            <w:tcW w:w="682" w:type="dxa"/>
            <w:vAlign w:val="center"/>
          </w:tcPr>
          <w:p>
            <w:pPr>
              <w:widowControl/>
              <w:adjustRightInd w:val="0"/>
              <w:snapToGrid w:val="0"/>
              <w:spacing w:before="188" w:after="188" w:line="270" w:lineRule="exact"/>
              <w:ind w:left="170"/>
              <w:rPr>
                <w:rFonts w:eastAsia="仿宋_GB2312"/>
                <w:kern w:val="0"/>
                <w:sz w:val="24"/>
              </w:rPr>
            </w:pPr>
            <w:r>
              <w:rPr>
                <w:rFonts w:eastAsia="仿宋_GB2312"/>
                <w:kern w:val="0"/>
                <w:sz w:val="24"/>
              </w:rPr>
              <w:t>7</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国有土地使用权出让收支</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县财政局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【法律】《土地管理法》第五章建设用地</w:t>
            </w:r>
          </w:p>
          <w:p>
            <w:pPr>
              <w:widowControl/>
              <w:spacing w:line="240" w:lineRule="exact"/>
              <w:ind w:firstLine="480" w:firstLineChars="200"/>
              <w:jc w:val="left"/>
              <w:rPr>
                <w:rFonts w:eastAsia="仿宋_GB2312"/>
                <w:color w:val="0D0D0D"/>
                <w:sz w:val="24"/>
              </w:rPr>
            </w:pPr>
            <w:r>
              <w:rPr>
                <w:rFonts w:eastAsia="仿宋_GB2312"/>
                <w:color w:val="0D0D0D"/>
                <w:sz w:val="24"/>
              </w:rPr>
              <w:t>【规范性文件】财政部《国有土地使用权出让收支管理办法》</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682" w:type="dxa"/>
            <w:vAlign w:val="center"/>
          </w:tcPr>
          <w:p>
            <w:pPr>
              <w:widowControl/>
              <w:adjustRightInd w:val="0"/>
              <w:snapToGrid w:val="0"/>
              <w:spacing w:before="188" w:after="188" w:line="270" w:lineRule="exact"/>
              <w:ind w:left="170"/>
              <w:rPr>
                <w:rFonts w:eastAsia="仿宋_GB2312"/>
                <w:kern w:val="0"/>
                <w:sz w:val="24"/>
              </w:rPr>
            </w:pPr>
            <w:r>
              <w:rPr>
                <w:rFonts w:eastAsia="仿宋_GB2312"/>
                <w:kern w:val="0"/>
                <w:sz w:val="24"/>
              </w:rPr>
              <w:t>8</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机关事业单位工作人员、企业职工、灵活就业人员工龄认定审批</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县人力资源和社会保障局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行政确认</w:t>
            </w:r>
          </w:p>
        </w:tc>
        <w:tc>
          <w:tcPr>
            <w:tcW w:w="6570" w:type="dxa"/>
            <w:vAlign w:val="center"/>
          </w:tcPr>
          <w:p>
            <w:pPr>
              <w:widowControl/>
              <w:spacing w:line="240" w:lineRule="exact"/>
              <w:ind w:firstLine="480" w:firstLineChars="200"/>
              <w:jc w:val="left"/>
              <w:rPr>
                <w:rFonts w:eastAsia="仿宋_GB2312"/>
                <w:color w:val="0D0D0D"/>
                <w:sz w:val="24"/>
                <w:lang w:val="zh-CN"/>
              </w:rPr>
            </w:pPr>
            <w:r>
              <w:rPr>
                <w:rFonts w:eastAsia="仿宋_GB2312"/>
                <w:color w:val="0D0D0D"/>
                <w:sz w:val="24"/>
                <w:lang w:val="zh-CN"/>
              </w:rPr>
              <w:t>【规范性文件】《中央组织部、劳动人事部印发&lt;关于确定建国前干部参加革命工作时间的规定&gt;的通知》（中组发［1982］11号）</w:t>
            </w:r>
          </w:p>
          <w:p>
            <w:pPr>
              <w:widowControl/>
              <w:spacing w:line="240" w:lineRule="exact"/>
              <w:ind w:firstLine="480" w:firstLineChars="200"/>
              <w:jc w:val="left"/>
              <w:rPr>
                <w:rFonts w:eastAsia="仿宋_GB2312"/>
                <w:color w:val="0D0D0D"/>
                <w:sz w:val="24"/>
                <w:lang w:val="zh-CN"/>
              </w:rPr>
            </w:pPr>
            <w:r>
              <w:rPr>
                <w:rFonts w:eastAsia="仿宋_GB2312"/>
                <w:color w:val="0D0D0D"/>
                <w:sz w:val="24"/>
                <w:lang w:val="zh-CN"/>
              </w:rPr>
              <w:t>《关于机关事业单位录用高校毕业生工龄计算有关问题的通知》（宁人社发[2013]40号）</w:t>
            </w:r>
          </w:p>
          <w:p>
            <w:pPr>
              <w:widowControl/>
              <w:spacing w:line="240" w:lineRule="exact"/>
              <w:jc w:val="left"/>
              <w:rPr>
                <w:rFonts w:eastAsia="仿宋_GB2312"/>
                <w:color w:val="0D0D0D"/>
                <w:sz w:val="24"/>
              </w:rPr>
            </w:pP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合并进“社会保险待遇支付”，不列入权力清单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682" w:type="dxa"/>
            <w:vAlign w:val="center"/>
          </w:tcPr>
          <w:p>
            <w:pPr>
              <w:widowControl/>
              <w:adjustRightInd w:val="0"/>
              <w:snapToGrid w:val="0"/>
              <w:spacing w:before="188" w:after="188" w:line="270" w:lineRule="exact"/>
              <w:ind w:left="170"/>
              <w:rPr>
                <w:rFonts w:eastAsia="仿宋_GB2312"/>
                <w:kern w:val="0"/>
                <w:sz w:val="24"/>
              </w:rPr>
            </w:pPr>
            <w:r>
              <w:rPr>
                <w:rFonts w:eastAsia="仿宋_GB2312"/>
                <w:kern w:val="0"/>
                <w:sz w:val="24"/>
              </w:rPr>
              <w:t>9</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专业技术人员继续教育基地认定</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县人力资源和社会保障局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行政确认</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【规范性文件】《宁夏回族自治区专业技术人员继续教育条例实施细则》（宁人社〔2002〕120号）</w:t>
            </w:r>
          </w:p>
          <w:p>
            <w:pPr>
              <w:widowControl/>
              <w:spacing w:line="240" w:lineRule="exact"/>
              <w:jc w:val="left"/>
              <w:rPr>
                <w:rFonts w:eastAsia="仿宋_GB2312"/>
                <w:color w:val="0D0D0D"/>
                <w:sz w:val="24"/>
              </w:rPr>
            </w:pP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89" w:hRule="atLeast"/>
          <w:jc w:val="center"/>
        </w:trPr>
        <w:tc>
          <w:tcPr>
            <w:tcW w:w="682" w:type="dxa"/>
            <w:vAlign w:val="center"/>
          </w:tcPr>
          <w:p>
            <w:pPr>
              <w:widowControl/>
              <w:adjustRightInd w:val="0"/>
              <w:snapToGrid w:val="0"/>
              <w:spacing w:before="188" w:after="188" w:line="270" w:lineRule="exact"/>
              <w:jc w:val="center"/>
              <w:rPr>
                <w:rFonts w:eastAsia="仿宋_GB2312"/>
                <w:kern w:val="0"/>
                <w:sz w:val="24"/>
              </w:rPr>
            </w:pPr>
            <w:r>
              <w:rPr>
                <w:rFonts w:eastAsia="仿宋_GB2312"/>
                <w:kern w:val="0"/>
                <w:sz w:val="24"/>
              </w:rPr>
              <w:t>10</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企业年金合同备案</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县人力资源和社会保障局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【部门规章】《企业年金基金管理办法》（2015年人力资源和社会保障部令第24号修订）</w:t>
            </w:r>
          </w:p>
          <w:p>
            <w:pPr>
              <w:widowControl/>
              <w:spacing w:line="240" w:lineRule="exact"/>
              <w:jc w:val="left"/>
              <w:rPr>
                <w:rFonts w:eastAsia="仿宋_GB2312"/>
                <w:color w:val="0D0D0D"/>
                <w:sz w:val="24"/>
              </w:rPr>
            </w:pP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559" w:hRule="atLeast"/>
          <w:jc w:val="center"/>
        </w:trPr>
        <w:tc>
          <w:tcPr>
            <w:tcW w:w="682" w:type="dxa"/>
            <w:vAlign w:val="center"/>
          </w:tcPr>
          <w:p>
            <w:pPr>
              <w:widowControl/>
              <w:adjustRightInd w:val="0"/>
              <w:snapToGrid w:val="0"/>
              <w:spacing w:before="188" w:after="188" w:line="270" w:lineRule="exact"/>
              <w:jc w:val="center"/>
              <w:rPr>
                <w:rFonts w:eastAsia="仿宋_GB2312"/>
                <w:kern w:val="0"/>
                <w:sz w:val="24"/>
              </w:rPr>
            </w:pPr>
            <w:r>
              <w:rPr>
                <w:rFonts w:eastAsia="仿宋_GB2312"/>
                <w:kern w:val="0"/>
                <w:sz w:val="24"/>
              </w:rPr>
              <w:t>11</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林权证核发</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县环境保护和林业局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行政确认</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【法律】《中华人民共和国森林法》（2009年修正）</w:t>
            </w:r>
          </w:p>
          <w:p>
            <w:pPr>
              <w:widowControl/>
              <w:spacing w:line="240" w:lineRule="exact"/>
              <w:ind w:firstLine="480" w:firstLineChars="200"/>
              <w:jc w:val="left"/>
              <w:rPr>
                <w:rFonts w:eastAsia="仿宋_GB2312"/>
                <w:color w:val="0D0D0D"/>
                <w:sz w:val="24"/>
              </w:rPr>
            </w:pPr>
            <w:r>
              <w:rPr>
                <w:rFonts w:eastAsia="仿宋_GB2312"/>
                <w:color w:val="0D0D0D"/>
                <w:sz w:val="24"/>
              </w:rPr>
              <w:t>【部门规章】《林木和林地权属登记管理办法》（2011年修正）</w:t>
            </w:r>
          </w:p>
          <w:p>
            <w:pPr>
              <w:widowControl/>
              <w:spacing w:line="240" w:lineRule="exact"/>
              <w:ind w:firstLine="480" w:firstLineChars="200"/>
              <w:jc w:val="left"/>
              <w:rPr>
                <w:rFonts w:eastAsia="仿宋_GB2312"/>
                <w:color w:val="0D0D0D"/>
                <w:sz w:val="24"/>
              </w:rPr>
            </w:pPr>
            <w:r>
              <w:rPr>
                <w:rFonts w:eastAsia="仿宋_GB2312"/>
                <w:color w:val="0D0D0D"/>
                <w:sz w:val="24"/>
              </w:rPr>
              <w:t>【规范性文件】《自治区人民政府关于第八批取消和调整行政审批事项的决定》（宁夏回族自治区人民政府令第52号）</w:t>
            </w:r>
          </w:p>
          <w:p>
            <w:pPr>
              <w:widowControl/>
              <w:spacing w:line="240" w:lineRule="exact"/>
              <w:ind w:firstLine="480" w:firstLineChars="200"/>
              <w:jc w:val="left"/>
              <w:rPr>
                <w:rFonts w:eastAsia="仿宋_GB2312"/>
                <w:color w:val="0D0D0D"/>
                <w:sz w:val="24"/>
              </w:rPr>
            </w:pPr>
            <w:r>
              <w:rPr>
                <w:rFonts w:eastAsia="仿宋_GB2312"/>
                <w:color w:val="0D0D0D"/>
                <w:sz w:val="24"/>
              </w:rPr>
              <w:t>【部门规章】《不动产登记暂行条例》（2015年国务院令第656号）</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划转至县国土局权力清单，同时合并进“不动产登记”，不列入权力清单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682" w:type="dxa"/>
            <w:vAlign w:val="center"/>
          </w:tcPr>
          <w:p>
            <w:pPr>
              <w:widowControl/>
              <w:adjustRightInd w:val="0"/>
              <w:snapToGrid w:val="0"/>
              <w:spacing w:before="188" w:after="188" w:line="270" w:lineRule="exact"/>
              <w:jc w:val="center"/>
              <w:rPr>
                <w:rFonts w:eastAsia="仿宋_GB2312"/>
                <w:kern w:val="0"/>
                <w:sz w:val="24"/>
              </w:rPr>
            </w:pPr>
            <w:r>
              <w:rPr>
                <w:rFonts w:eastAsia="仿宋_GB2312"/>
                <w:kern w:val="0"/>
                <w:sz w:val="24"/>
              </w:rPr>
              <w:t>12</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因林业行政主管部门为选育林木育种建立测定林、试验林、优树收集区、基因库而减少收入的给付</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县环境保护和林业局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【法律】《中华人民共和国种子法》（2015年修正）</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88" w:hRule="atLeast"/>
          <w:jc w:val="center"/>
        </w:trPr>
        <w:tc>
          <w:tcPr>
            <w:tcW w:w="682" w:type="dxa"/>
            <w:vAlign w:val="center"/>
          </w:tcPr>
          <w:p>
            <w:pPr>
              <w:widowControl/>
              <w:adjustRightInd w:val="0"/>
              <w:snapToGrid w:val="0"/>
              <w:spacing w:before="188" w:after="188" w:line="270" w:lineRule="exact"/>
              <w:jc w:val="center"/>
              <w:rPr>
                <w:rFonts w:eastAsia="仿宋_GB2312"/>
                <w:kern w:val="0"/>
                <w:sz w:val="24"/>
              </w:rPr>
            </w:pPr>
            <w:r>
              <w:rPr>
                <w:rFonts w:eastAsia="仿宋_GB2312"/>
                <w:kern w:val="0"/>
                <w:sz w:val="24"/>
              </w:rPr>
              <w:t>13</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疫情调查和采取消灭措施所需的紧急防治费和补助费给付</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县环境保护和林业局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【行政法规】《植物检疫条例》（2017年国务院令第687号修订）</w:t>
            </w:r>
          </w:p>
          <w:p>
            <w:pPr>
              <w:widowControl/>
              <w:spacing w:line="240" w:lineRule="exact"/>
              <w:ind w:firstLine="480" w:firstLineChars="200"/>
              <w:jc w:val="left"/>
              <w:rPr>
                <w:rFonts w:eastAsia="仿宋_GB2312"/>
                <w:color w:val="0D0D0D"/>
                <w:sz w:val="24"/>
              </w:rPr>
            </w:pPr>
            <w:r>
              <w:rPr>
                <w:rFonts w:eastAsia="仿宋_GB2312"/>
                <w:color w:val="0D0D0D"/>
                <w:sz w:val="24"/>
              </w:rPr>
              <w:t>【部门规章】《植物检疫条例实施细则（林业部分）》（2011年国家林业局第26号令修订）</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74" w:hRule="atLeast"/>
          <w:jc w:val="center"/>
        </w:trPr>
        <w:tc>
          <w:tcPr>
            <w:tcW w:w="682" w:type="dxa"/>
            <w:vAlign w:val="center"/>
          </w:tcPr>
          <w:p>
            <w:pPr>
              <w:widowControl/>
              <w:adjustRightInd w:val="0"/>
              <w:snapToGrid w:val="0"/>
              <w:spacing w:before="188" w:after="188"/>
              <w:jc w:val="center"/>
              <w:rPr>
                <w:rFonts w:eastAsia="仿宋_GB2312"/>
                <w:kern w:val="0"/>
                <w:sz w:val="24"/>
              </w:rPr>
            </w:pPr>
            <w:r>
              <w:rPr>
                <w:rFonts w:eastAsia="仿宋_GB2312"/>
                <w:kern w:val="0"/>
                <w:sz w:val="24"/>
              </w:rPr>
              <w:t>14</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因教学、科研及其特殊需要饲养家畜家禽审批</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县住房和城乡建设局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行政许可</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【行政法规】《城市市容和环境卫生管理条例》（2017年修订）</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04" w:hRule="atLeast"/>
          <w:jc w:val="center"/>
        </w:trPr>
        <w:tc>
          <w:tcPr>
            <w:tcW w:w="682" w:type="dxa"/>
            <w:vAlign w:val="center"/>
          </w:tcPr>
          <w:p>
            <w:pPr>
              <w:widowControl/>
              <w:adjustRightInd w:val="0"/>
              <w:snapToGrid w:val="0"/>
              <w:spacing w:before="188" w:after="188" w:line="270" w:lineRule="exact"/>
              <w:jc w:val="center"/>
              <w:rPr>
                <w:rFonts w:eastAsia="仿宋_GB2312"/>
                <w:kern w:val="0"/>
                <w:sz w:val="24"/>
              </w:rPr>
            </w:pPr>
            <w:r>
              <w:rPr>
                <w:rFonts w:eastAsia="仿宋_GB2312"/>
                <w:kern w:val="0"/>
                <w:sz w:val="24"/>
              </w:rPr>
              <w:t>15</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人防工程竣工验收</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县住房和城乡建设局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【法律】《中华人民共和国人民防空法》（2009年修订）</w:t>
            </w:r>
          </w:p>
          <w:p>
            <w:pPr>
              <w:widowControl/>
              <w:spacing w:line="240" w:lineRule="exact"/>
              <w:ind w:firstLine="480" w:firstLineChars="200"/>
              <w:jc w:val="left"/>
              <w:rPr>
                <w:rFonts w:eastAsia="仿宋_GB2312"/>
                <w:color w:val="0D0D0D"/>
                <w:sz w:val="24"/>
              </w:rPr>
            </w:pPr>
            <w:r>
              <w:rPr>
                <w:rFonts w:eastAsia="仿宋_GB2312"/>
                <w:color w:val="0D0D0D"/>
                <w:sz w:val="24"/>
              </w:rPr>
              <w:t>【地方性法规】 《宁夏回族自治区实施〈中华人民共和国人民防空法〉办法》（2005年修订）</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55" w:hRule="atLeast"/>
          <w:jc w:val="center"/>
        </w:trPr>
        <w:tc>
          <w:tcPr>
            <w:tcW w:w="682" w:type="dxa"/>
            <w:vAlign w:val="center"/>
          </w:tcPr>
          <w:p>
            <w:pPr>
              <w:widowControl/>
              <w:adjustRightInd w:val="0"/>
              <w:snapToGrid w:val="0"/>
              <w:spacing w:before="188" w:after="188"/>
              <w:jc w:val="center"/>
              <w:rPr>
                <w:rFonts w:eastAsia="仿宋_GB2312"/>
                <w:kern w:val="0"/>
                <w:sz w:val="24"/>
              </w:rPr>
            </w:pPr>
            <w:r>
              <w:rPr>
                <w:rFonts w:eastAsia="仿宋_GB2312"/>
                <w:kern w:val="0"/>
                <w:sz w:val="24"/>
              </w:rPr>
              <w:t>16</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房地产开发项目手册备案</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县住房和城乡建设局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【行政法规】《城市房地产开发开发经营管理条例》（2018年修正）</w:t>
            </w:r>
          </w:p>
          <w:p>
            <w:pPr>
              <w:widowControl/>
              <w:spacing w:line="240" w:lineRule="exact"/>
              <w:ind w:firstLine="480" w:firstLineChars="200"/>
              <w:jc w:val="left"/>
              <w:rPr>
                <w:rFonts w:eastAsia="仿宋_GB2312"/>
                <w:color w:val="0D0D0D"/>
                <w:sz w:val="24"/>
              </w:rPr>
            </w:pPr>
            <w:r>
              <w:rPr>
                <w:rFonts w:eastAsia="仿宋_GB2312"/>
                <w:color w:val="0D0D0D"/>
                <w:sz w:val="24"/>
              </w:rPr>
              <w:t>【地方性法规】《宁夏回族自治区城市房地产开发经营管理条例》（2016年修正）</w:t>
            </w:r>
          </w:p>
          <w:p>
            <w:pPr>
              <w:widowControl/>
              <w:spacing w:line="240" w:lineRule="exact"/>
              <w:jc w:val="left"/>
              <w:rPr>
                <w:rFonts w:eastAsia="仿宋_GB2312"/>
                <w:color w:val="0D0D0D"/>
                <w:sz w:val="24"/>
              </w:rPr>
            </w:pP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合并进“商品房预售合同登记备案”，不列入权力清单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49" w:hRule="atLeast"/>
          <w:jc w:val="center"/>
        </w:trPr>
        <w:tc>
          <w:tcPr>
            <w:tcW w:w="682" w:type="dxa"/>
            <w:vAlign w:val="center"/>
          </w:tcPr>
          <w:p>
            <w:pPr>
              <w:widowControl/>
              <w:adjustRightInd w:val="0"/>
              <w:snapToGrid w:val="0"/>
              <w:spacing w:before="188" w:after="188"/>
              <w:jc w:val="center"/>
              <w:rPr>
                <w:rFonts w:eastAsia="仿宋_GB2312"/>
                <w:kern w:val="0"/>
                <w:sz w:val="24"/>
              </w:rPr>
            </w:pPr>
            <w:r>
              <w:rPr>
                <w:rFonts w:eastAsia="仿宋_GB2312"/>
                <w:kern w:val="0"/>
                <w:sz w:val="24"/>
              </w:rPr>
              <w:t>17</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商品房现售前备案</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县住房和城乡建设局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【行政法规】《城市房地产开发开发经营管理条例》（1998年中华人民共和国国务院令248号、2011年修订）</w:t>
            </w:r>
          </w:p>
          <w:p>
            <w:pPr>
              <w:widowControl/>
              <w:spacing w:line="240" w:lineRule="exact"/>
              <w:ind w:firstLine="480" w:firstLineChars="200"/>
              <w:jc w:val="left"/>
              <w:rPr>
                <w:rFonts w:eastAsia="仿宋_GB2312"/>
                <w:color w:val="0D0D0D"/>
                <w:sz w:val="24"/>
              </w:rPr>
            </w:pPr>
            <w:r>
              <w:rPr>
                <w:rFonts w:eastAsia="仿宋_GB2312"/>
                <w:color w:val="0D0D0D"/>
                <w:sz w:val="24"/>
              </w:rPr>
              <w:t>【部门规章】《商品房销售管理办法》（2001年建设部令第 88 号）</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合并进“商品房预售合同登记备案”，不列入权力清单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9" w:hRule="atLeast"/>
          <w:jc w:val="center"/>
        </w:trPr>
        <w:tc>
          <w:tcPr>
            <w:tcW w:w="682" w:type="dxa"/>
            <w:vAlign w:val="center"/>
          </w:tcPr>
          <w:p>
            <w:pPr>
              <w:widowControl/>
              <w:adjustRightInd w:val="0"/>
              <w:snapToGrid w:val="0"/>
              <w:spacing w:before="188" w:after="188" w:line="270" w:lineRule="exact"/>
              <w:jc w:val="center"/>
              <w:rPr>
                <w:rFonts w:eastAsia="仿宋_GB2312"/>
                <w:kern w:val="0"/>
                <w:sz w:val="24"/>
              </w:rPr>
            </w:pPr>
            <w:r>
              <w:rPr>
                <w:rFonts w:eastAsia="仿宋_GB2312"/>
                <w:kern w:val="0"/>
                <w:sz w:val="24"/>
              </w:rPr>
              <w:t>18</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占用国防交通控制用地批准</w:t>
            </w:r>
          </w:p>
          <w:p>
            <w:pPr>
              <w:widowControl/>
              <w:spacing w:line="240" w:lineRule="exact"/>
              <w:jc w:val="left"/>
              <w:rPr>
                <w:rFonts w:eastAsia="仿宋_GB2312"/>
                <w:color w:val="0D0D0D"/>
                <w:sz w:val="24"/>
              </w:rPr>
            </w:pP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县交通运输局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行政许可</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【法律】《中华人民共和国国防交通法》（2016年）</w:t>
            </w:r>
          </w:p>
          <w:p>
            <w:pPr>
              <w:widowControl/>
              <w:spacing w:line="240" w:lineRule="exact"/>
              <w:ind w:firstLine="480" w:firstLineChars="200"/>
              <w:jc w:val="left"/>
              <w:rPr>
                <w:rFonts w:eastAsia="仿宋_GB2312"/>
                <w:color w:val="0D0D0D"/>
                <w:sz w:val="24"/>
              </w:rPr>
            </w:pPr>
            <w:r>
              <w:rPr>
                <w:rFonts w:eastAsia="仿宋_GB2312"/>
                <w:color w:val="0D0D0D"/>
                <w:sz w:val="24"/>
              </w:rPr>
              <w:t>【行政法规】《国防交通条例》（2011年修正）</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856" w:hRule="atLeast"/>
          <w:jc w:val="center"/>
        </w:trPr>
        <w:tc>
          <w:tcPr>
            <w:tcW w:w="682" w:type="dxa"/>
            <w:vAlign w:val="center"/>
          </w:tcPr>
          <w:p>
            <w:pPr>
              <w:widowControl/>
              <w:adjustRightInd w:val="0"/>
              <w:snapToGrid w:val="0"/>
              <w:spacing w:before="188" w:after="188" w:line="270" w:lineRule="exact"/>
              <w:jc w:val="center"/>
              <w:rPr>
                <w:rFonts w:eastAsia="仿宋_GB2312"/>
                <w:kern w:val="0"/>
                <w:sz w:val="24"/>
              </w:rPr>
            </w:pPr>
            <w:r>
              <w:rPr>
                <w:rFonts w:eastAsia="仿宋_GB2312"/>
                <w:kern w:val="0"/>
                <w:sz w:val="24"/>
              </w:rPr>
              <w:t>19</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占用农业灌溉水源、灌排工程设施审批及开发补偿费征收</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县水务局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行政征收</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【法律】《中华人民共和国水法》（2016年修订）</w:t>
            </w:r>
          </w:p>
          <w:p>
            <w:pPr>
              <w:widowControl/>
              <w:spacing w:line="240" w:lineRule="exact"/>
              <w:ind w:firstLine="480" w:firstLineChars="200"/>
              <w:jc w:val="left"/>
              <w:rPr>
                <w:rFonts w:eastAsia="仿宋_GB2312"/>
                <w:color w:val="0D0D0D"/>
                <w:sz w:val="24"/>
              </w:rPr>
            </w:pPr>
            <w:r>
              <w:rPr>
                <w:rFonts w:eastAsia="仿宋_GB2312"/>
                <w:color w:val="0D0D0D"/>
                <w:sz w:val="24"/>
              </w:rPr>
              <w:t>【规范性文件】《占用农业灌溉水源、灌排工程设施补偿办法》（2014年水利部、财政部、国家计委水政[1995]457号）</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调整为内部管理事项，不列入权力清单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899" w:hRule="atLeast"/>
          <w:jc w:val="center"/>
        </w:trPr>
        <w:tc>
          <w:tcPr>
            <w:tcW w:w="682" w:type="dxa"/>
            <w:vAlign w:val="center"/>
          </w:tcPr>
          <w:p>
            <w:pPr>
              <w:widowControl/>
              <w:adjustRightInd w:val="0"/>
              <w:snapToGrid w:val="0"/>
              <w:spacing w:before="188" w:after="188" w:line="270" w:lineRule="exact"/>
              <w:jc w:val="center"/>
              <w:rPr>
                <w:rFonts w:eastAsia="仿宋_GB2312"/>
                <w:kern w:val="0"/>
                <w:sz w:val="24"/>
              </w:rPr>
            </w:pPr>
            <w:r>
              <w:rPr>
                <w:rFonts w:eastAsia="仿宋_GB2312"/>
                <w:kern w:val="0"/>
                <w:sz w:val="24"/>
              </w:rPr>
              <w:t>20</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在草原上从事采土、采砂、采石等作业活动的许可</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县农牧局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行政许可</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【法律】《中华人民共和国草原法》（2013年修正）</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合并进“临时占用草原审核（为“草原类许可”子项）”，不列入权力清单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59" w:hRule="atLeast"/>
          <w:jc w:val="center"/>
        </w:trPr>
        <w:tc>
          <w:tcPr>
            <w:tcW w:w="682" w:type="dxa"/>
            <w:vAlign w:val="center"/>
          </w:tcPr>
          <w:p>
            <w:pPr>
              <w:widowControl/>
              <w:adjustRightInd w:val="0"/>
              <w:snapToGrid w:val="0"/>
              <w:spacing w:before="188" w:after="188" w:line="270" w:lineRule="exact"/>
              <w:jc w:val="center"/>
              <w:rPr>
                <w:rFonts w:eastAsia="仿宋_GB2312"/>
                <w:kern w:val="0"/>
                <w:sz w:val="24"/>
              </w:rPr>
            </w:pPr>
            <w:r>
              <w:rPr>
                <w:rFonts w:eastAsia="仿宋_GB2312"/>
                <w:kern w:val="0"/>
                <w:sz w:val="24"/>
              </w:rPr>
              <w:t>21</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农业技术推广许可</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县农牧局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行政许可</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【地方性法规】《宁夏回族自治区实施（中华人民共和国农业技术推广法）办法》（1995年修正）</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679" w:hRule="atLeast"/>
          <w:jc w:val="center"/>
        </w:trPr>
        <w:tc>
          <w:tcPr>
            <w:tcW w:w="682" w:type="dxa"/>
            <w:vAlign w:val="center"/>
          </w:tcPr>
          <w:p>
            <w:pPr>
              <w:widowControl/>
              <w:adjustRightInd w:val="0"/>
              <w:snapToGrid w:val="0"/>
              <w:spacing w:before="188" w:after="188" w:line="270" w:lineRule="exact"/>
              <w:jc w:val="center"/>
              <w:rPr>
                <w:rFonts w:eastAsia="仿宋_GB2312"/>
                <w:kern w:val="0"/>
                <w:sz w:val="24"/>
              </w:rPr>
            </w:pPr>
            <w:r>
              <w:rPr>
                <w:rFonts w:eastAsia="仿宋_GB2312"/>
                <w:kern w:val="0"/>
                <w:sz w:val="24"/>
              </w:rPr>
              <w:t>22</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征收草原植被恢复费</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县农牧局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行政征收</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【法律】《中华人民共和国草原法》 （2013年修订）</w:t>
            </w:r>
          </w:p>
          <w:p>
            <w:pPr>
              <w:widowControl/>
              <w:spacing w:line="240" w:lineRule="exact"/>
              <w:jc w:val="left"/>
              <w:rPr>
                <w:rFonts w:eastAsia="仿宋_GB2312"/>
                <w:color w:val="0D0D0D"/>
                <w:sz w:val="24"/>
              </w:rPr>
            </w:pP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合并进“临时占用草原审核（为“草原类许可”子项）”，不列入权力清单</w:t>
            </w:r>
          </w:p>
        </w:tc>
        <w:tc>
          <w:tcPr>
            <w:tcW w:w="1080" w:type="dxa"/>
            <w:vAlign w:val="center"/>
          </w:tcPr>
          <w:p>
            <w:pPr>
              <w:widowControl/>
              <w:spacing w:line="240" w:lineRule="exact"/>
              <w:jc w:val="center"/>
              <w:rPr>
                <w:rFonts w:eastAsia="仿宋_GB2312"/>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37" w:hRule="atLeast"/>
          <w:jc w:val="center"/>
        </w:trPr>
        <w:tc>
          <w:tcPr>
            <w:tcW w:w="682" w:type="dxa"/>
            <w:vAlign w:val="center"/>
          </w:tcPr>
          <w:p>
            <w:pPr>
              <w:widowControl/>
              <w:adjustRightInd w:val="0"/>
              <w:snapToGrid w:val="0"/>
              <w:spacing w:before="188" w:after="188" w:line="270" w:lineRule="exact"/>
              <w:jc w:val="center"/>
              <w:rPr>
                <w:rFonts w:eastAsia="仿宋_GB2312"/>
                <w:kern w:val="0"/>
                <w:sz w:val="24"/>
              </w:rPr>
            </w:pPr>
            <w:r>
              <w:rPr>
                <w:rFonts w:eastAsia="仿宋_GB2312"/>
                <w:kern w:val="0"/>
                <w:sz w:val="24"/>
              </w:rPr>
              <w:t>23</w:t>
            </w:r>
          </w:p>
        </w:tc>
        <w:tc>
          <w:tcPr>
            <w:tcW w:w="2048" w:type="dxa"/>
            <w:vAlign w:val="center"/>
          </w:tcPr>
          <w:p>
            <w:pPr>
              <w:widowControl/>
              <w:spacing w:line="240" w:lineRule="exact"/>
              <w:jc w:val="left"/>
              <w:rPr>
                <w:rFonts w:eastAsia="仿宋_GB2312"/>
                <w:color w:val="0D0D0D"/>
                <w:sz w:val="24"/>
              </w:rPr>
            </w:pPr>
            <w:r>
              <w:rPr>
                <w:rFonts w:eastAsia="仿宋_GB2312"/>
                <w:color w:val="0D0D0D"/>
                <w:sz w:val="24"/>
              </w:rPr>
              <w:t>对生产经营单位的主要负责人和安全生产管理人员安全生产知识和管理能力考核，颁发安全合格证</w:t>
            </w:r>
          </w:p>
        </w:tc>
        <w:tc>
          <w:tcPr>
            <w:tcW w:w="1290" w:type="dxa"/>
            <w:vAlign w:val="center"/>
          </w:tcPr>
          <w:p>
            <w:pPr>
              <w:widowControl/>
              <w:spacing w:line="240" w:lineRule="exact"/>
              <w:jc w:val="left"/>
              <w:rPr>
                <w:rFonts w:eastAsia="仿宋_GB2312"/>
                <w:color w:val="0D0D0D"/>
                <w:sz w:val="24"/>
              </w:rPr>
            </w:pPr>
            <w:r>
              <w:rPr>
                <w:rFonts w:eastAsia="仿宋_GB2312"/>
                <w:color w:val="0D0D0D"/>
                <w:sz w:val="24"/>
              </w:rPr>
              <w:t>县安全生产监督管理局</w:t>
            </w:r>
          </w:p>
        </w:tc>
        <w:tc>
          <w:tcPr>
            <w:tcW w:w="810"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6570"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【法律】《中华人民共和国安全生产法》（2014年修改）</w:t>
            </w:r>
          </w:p>
          <w:p>
            <w:pPr>
              <w:widowControl/>
              <w:spacing w:line="240" w:lineRule="exact"/>
              <w:ind w:firstLine="480" w:firstLineChars="200"/>
              <w:jc w:val="left"/>
              <w:rPr>
                <w:rFonts w:eastAsia="仿宋_GB2312"/>
                <w:color w:val="0D0D0D"/>
                <w:sz w:val="24"/>
              </w:rPr>
            </w:pPr>
            <w:r>
              <w:rPr>
                <w:rFonts w:eastAsia="仿宋_GB2312"/>
                <w:color w:val="0D0D0D"/>
                <w:sz w:val="24"/>
              </w:rPr>
              <w:t>【部门规章】《生产经营单位安全培训规定》（2006年国家安全监管总局3号令，2013年国家安全生产监督管理总局令第63号修正，2015年国家安全生产监督管理总局令第80 号修改）</w:t>
            </w:r>
          </w:p>
          <w:p>
            <w:pPr>
              <w:widowControl/>
              <w:spacing w:line="240" w:lineRule="exact"/>
              <w:ind w:firstLine="480" w:firstLineChars="200"/>
              <w:jc w:val="left"/>
              <w:rPr>
                <w:rFonts w:eastAsia="仿宋_GB2312"/>
                <w:color w:val="0D0D0D"/>
                <w:sz w:val="24"/>
              </w:rPr>
            </w:pPr>
            <w:r>
              <w:rPr>
                <w:rFonts w:eastAsia="仿宋_GB2312"/>
                <w:color w:val="0D0D0D"/>
                <w:sz w:val="24"/>
              </w:rPr>
              <w:t>【部门规章】《安全生产培训管理办法》（2015年国家安全生产监督管理总局令第80号修改）</w:t>
            </w:r>
          </w:p>
        </w:tc>
        <w:tc>
          <w:tcPr>
            <w:tcW w:w="1575" w:type="dxa"/>
            <w:vAlign w:val="center"/>
          </w:tcPr>
          <w:p>
            <w:pPr>
              <w:widowControl/>
              <w:spacing w:line="240" w:lineRule="exact"/>
              <w:jc w:val="left"/>
              <w:rPr>
                <w:rFonts w:eastAsia="仿宋_GB2312"/>
                <w:color w:val="0D0D0D"/>
                <w:sz w:val="24"/>
              </w:rPr>
            </w:pPr>
            <w:r>
              <w:rPr>
                <w:rFonts w:eastAsia="仿宋_GB2312"/>
                <w:color w:val="0D0D0D"/>
                <w:sz w:val="24"/>
              </w:rPr>
              <w:t>不列入权力清单</w:t>
            </w:r>
          </w:p>
        </w:tc>
        <w:tc>
          <w:tcPr>
            <w:tcW w:w="1080" w:type="dxa"/>
            <w:vAlign w:val="center"/>
          </w:tcPr>
          <w:p>
            <w:pPr>
              <w:widowControl/>
              <w:spacing w:line="240" w:lineRule="exact"/>
              <w:jc w:val="center"/>
              <w:rPr>
                <w:rFonts w:eastAsia="仿宋_GB2312"/>
                <w:color w:val="0D0D0D"/>
                <w:sz w:val="24"/>
              </w:rPr>
            </w:pPr>
          </w:p>
        </w:tc>
      </w:tr>
    </w:tbl>
    <w:p>
      <w:pPr>
        <w:jc w:val="center"/>
        <w:rPr>
          <w:rFonts w:eastAsia="仿宋_GB2312"/>
          <w:sz w:val="24"/>
        </w:rPr>
      </w:pPr>
    </w:p>
    <w:p>
      <w:pPr>
        <w:ind w:firstLine="480" w:firstLineChars="200"/>
        <w:rPr>
          <w:rFonts w:eastAsia="仿宋_GB2312"/>
          <w:sz w:val="24"/>
        </w:rPr>
        <w:sectPr>
          <w:footerReference r:id="rId3" w:type="default"/>
          <w:pgSz w:w="16838" w:h="11906" w:orient="landscape"/>
          <w:pgMar w:top="1418" w:right="1587" w:bottom="1418" w:left="1588" w:header="851" w:footer="992" w:gutter="0"/>
          <w:pgNumType w:start="3"/>
          <w:cols w:space="0" w:num="1"/>
          <w:docGrid w:linePitch="312" w:charSpace="0"/>
        </w:sectPr>
      </w:pPr>
      <w:r>
        <w:rPr>
          <w:rFonts w:eastAsia="仿宋_GB2312"/>
          <w:sz w:val="24"/>
        </w:rPr>
        <w:t>注：调整行政职权事项23项，其中：1项（文化旅游广电局1项）是第一批调整规范436项行政职权中的事项；其余22项（发展和改革局2项、工业信息化和商务局2项、科学技术局1项、财政局1项、人力资源和社会保障局3项、环境保护和林业局3项、住房和城乡建设局4项、交通运输局1项、水务局1项、农牧局3项、安全生产监督管理局1项）属政府部门原权力清单中涉及行政许可、行政确认、行政征收、行政给付和其他类五类行政职权，无法按照自治区“三级四同”指导目录调整规范列入部门权力清单的行政职权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66697"/>
    <w:rsid w:val="54466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2019-01-04T02:04:00Z</dcterms:created>
  <dc:creator>447333305</dc:creator>
  <cp:lastModifiedBy>447333305</cp:lastModifiedBy>
  <dcterms:modified xsi:type="dcterms:W3CDTF">2019-01-04T02:09:03Z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